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ΟΡΘΗ ΕΠΑΝΑΛΗΨΗ</w:t>
      </w:r>
    </w:p>
    <w:p>
      <w:pPr>
        <w:pStyle w:val="Title"/>
        <w:spacing w:before="120" w:after="360"/>
        <w:rPr>
          <w:lang w:val="el" w:eastAsia="el"/>
        </w:rPr>
      </w:pPr>
      <w:r>
        <w:rPr>
          <w:b/>
          <w:bCs/>
          <w:lang w:val="el" w:eastAsia="el"/>
        </w:rPr>
        <w:t>ΔΙΟΡΘΩΣΗ ΣΦΑΛΜΑΤΟΣ</w:t>
      </w:r>
    </w:p>
    <w:p>
      <w:pPr>
        <w:pStyle w:val="Title"/>
        <w:spacing w:before="120" w:after="360"/>
        <w:rPr>
          <w:lang w:val="el" w:eastAsia="el"/>
        </w:rPr>
      </w:pPr>
      <w:r>
        <w:rPr>
          <w:b/>
          <w:bCs/>
          <w:lang w:val="el" w:eastAsia="el"/>
        </w:rPr>
        <w:t>ΦΕΚ Β’ 2240/8.5.2025</w:t>
      </w:r>
    </w:p>
    <w:p>
      <w:pPr>
        <w:pStyle w:val="Title"/>
        <w:spacing w:before="120" w:after="360"/>
        <w:rPr>
          <w:lang w:val="el" w:eastAsia="el"/>
        </w:rPr>
      </w:pPr>
      <w:r>
        <w:rPr>
          <w:b/>
          <w:bCs/>
          <w:lang w:val="el" w:eastAsia="el"/>
        </w:rPr>
        <w:t>Στο Θέμα διορθώνεται το εσφαλμένο «ν.5177/2024» στο ορθό « ν.5177/2025» και στο προοίμιο της απόφασης στο σημείο 4 διορθώνεται το εσφαλμένο «ν.5177/2024» στο ορθό « ν.5177/2025»</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ΨΡΔΘ46ΜΠ3Ζ-ΝΚΜ</w:t>
      </w:r>
    </w:p>
    <w:p>
      <w:pPr>
        <w:pStyle w:val="Title"/>
        <w:spacing w:before="120" w:after="360"/>
        <w:rPr>
          <w:lang w:val="el" w:eastAsia="el"/>
        </w:rPr>
      </w:pPr>
      <w:r>
        <w:rPr>
          <w:b/>
          <w:bCs/>
          <w:lang w:val="el" w:eastAsia="el"/>
        </w:rPr>
        <w:t>Αριθ. ΦΕΚ: 2120 B΄ 5/5/2025 Αθήνα, 16/4/2025</w:t>
      </w:r>
    </w:p>
    <w:p>
      <w:pPr>
        <w:pStyle w:val="Title"/>
        <w:spacing w:before="120" w:after="360"/>
        <w:rPr>
          <w:lang w:val="el" w:eastAsia="el"/>
        </w:rPr>
      </w:pPr>
      <w:r>
        <w:rPr>
          <w:b/>
          <w:bCs/>
          <w:lang w:val="el" w:eastAsia="el"/>
        </w:rPr>
        <w:t>Α.1059</w:t>
      </w:r>
    </w:p>
    <w:p>
      <w:pPr>
        <w:pStyle w:val="PreambelText"/>
        <w:spacing w:before="240" w:after="240"/>
        <w:rPr>
          <w:lang w:val="el" w:eastAsia="el"/>
        </w:rPr>
      </w:pPr>
      <w:r>
        <w:rPr>
          <w:lang w:val="el" w:eastAsia="el"/>
        </w:rPr>
        <w:t xml:space="preserve">I. </w:t>
      </w: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&amp; ΕΙΔΙΚΩΝ</w:t>
      </w:r>
    </w:p>
    <w:p>
      <w:pPr>
        <w:spacing w:before="240" w:after="240"/>
        <w:rPr>
          <w:lang w:val="el" w:eastAsia="el"/>
        </w:rPr>
      </w:pPr>
      <w:r>
        <w:rPr>
          <w:lang w:val="el" w:eastAsia="el"/>
        </w:rPr>
        <w:t xml:space="preserve">II. </w:t>
      </w: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ΘΕΜΑ: «Καθορισμός λεπτομερειών εφαρμογής καταβολής αναλογικών τελών κυκλοφορίας και αυτόματης θέσης σε ακινησία από την Ανεξάρτητη Αρχή</w:t>
      </w:r>
    </w:p>
    <w:p>
      <w:pPr>
        <w:spacing w:before="240" w:after="240"/>
        <w:rPr>
          <w:lang w:val="el" w:eastAsia="el"/>
        </w:rPr>
      </w:pPr>
      <w:r>
        <w:rPr>
          <w:b/>
          <w:bCs/>
          <w:lang w:val="el" w:eastAsia="el"/>
        </w:rPr>
        <w:t>Δημοσίων Εσόδων επιβατικών ιδιωτικής χρήσης οχημάτων ή μοτοσυκλετών ιδιωτικής χρήσης, σύμφωνα με το άρθρο 62Α του ν. 5177/2025 (Α΄ 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62Α του ν. 5177/2025 του Κώδικα εμμέσων φόρων επί των συναλλαγών του πεδίου εφαρμογής του Κώδικα Φορολογικής Διαδικασίας, καθώς και λοιπών εμμέσων φόρων. (ν.5177/2025, Α΄21) και ιδιαίτερα της παρ. 8 αυτού, όπως αυτό προστέθηκε με το άρθρο 228 του ν. 5193/2025 (Α΄56), β) του Κεφ. Α΄ του Μέρους Πρώτου του ν.</w:t>
      </w:r>
      <w:r>
        <w:rPr>
          <w:rStyle w:val="link"/>
          <w:b/>
          <w:bCs/>
          <w:lang w:val="el" w:eastAsia="el"/>
        </w:rPr>
        <w:t xml:space="preserve">4389/2016 </w:t>
      </w:r>
      <w:r>
        <w:rPr>
          <w:b/>
          <w:bCs/>
          <w:lang w:val="el" w:eastAsia="el"/>
        </w:rPr>
        <w:t>«Επείγουσες διατάξεις για την εφαρμογή της συμφωνίας δημοσιονομικών στόχων και διαρθρωτικών μεταρρυθμίσεων και άλλες διατάξεις» (Α΄94) και ειδικότερα του</w:t>
      </w:r>
      <w:r>
        <w:rPr>
          <w:rStyle w:val="link"/>
          <w:b/>
          <w:bCs/>
          <w:lang w:val="el" w:eastAsia="el"/>
        </w:rPr>
        <w:t xml:space="preserve"> άρθρου </w:t>
      </w:r>
      <w:r>
        <w:rPr>
          <w:rStyle w:val="link"/>
          <w:b/>
          <w:bCs/>
          <w:lang w:val="el" w:eastAsia="el"/>
        </w:rPr>
        <w:t>7,</w:t>
      </w:r>
      <w:r>
        <w:rPr>
          <w:b/>
          <w:bCs/>
          <w:lang w:val="el" w:eastAsia="el"/>
        </w:rPr>
        <w:t xml:space="preserve"> της </w:t>
      </w:r>
      <w:r>
        <w:rPr>
          <w:rStyle w:val="link"/>
          <w:b/>
          <w:bCs/>
          <w:lang w:val="el" w:eastAsia="el"/>
        </w:rPr>
        <w:t xml:space="preserve">παρ. </w:t>
      </w:r>
      <w:r>
        <w:rPr>
          <w:rStyle w:val="link"/>
          <w:b/>
          <w:bCs/>
          <w:lang w:val="el" w:eastAsia="el"/>
        </w:rPr>
        <w:t xml:space="preserve">1 </w:t>
      </w:r>
      <w:r>
        <w:rPr>
          <w:rStyle w:val="link"/>
          <w:b/>
          <w:bCs/>
          <w:lang w:val="el" w:eastAsia="el"/>
        </w:rPr>
        <w:t xml:space="preserve">του άρθρου </w:t>
      </w:r>
      <w:r>
        <w:rPr>
          <w:rStyle w:val="link"/>
          <w:b/>
          <w:bCs/>
          <w:lang w:val="el" w:eastAsia="el"/>
        </w:rPr>
        <w:t xml:space="preserve">14 </w:t>
      </w:r>
      <w:r>
        <w:rPr>
          <w:b/>
          <w:bCs/>
          <w:lang w:val="el" w:eastAsia="el"/>
        </w:rPr>
        <w:t>και του</w:t>
      </w:r>
      <w:r>
        <w:rPr>
          <w:rStyle w:val="link"/>
          <w:b/>
          <w:bCs/>
          <w:lang w:val="el" w:eastAsia="el"/>
        </w:rPr>
        <w:t xml:space="preserve"> άρθρου </w:t>
      </w:r>
      <w:r>
        <w:rPr>
          <w:rStyle w:val="link"/>
          <w:b/>
          <w:bCs/>
          <w:lang w:val="el" w:eastAsia="el"/>
        </w:rPr>
        <w:t xml:space="preserve">41 </w:t>
      </w:r>
      <w:r>
        <w:rPr>
          <w:b/>
          <w:bCs/>
          <w:lang w:val="el" w:eastAsia="el"/>
        </w:rPr>
        <w:t>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2. </w:t>
      </w:r>
      <w:r>
        <w:rPr>
          <w:b/>
          <w:bCs/>
          <w:lang w:val="el" w:eastAsia="el"/>
        </w:rPr>
        <w:t>Την κοινή απόφαση Υπουργού Επικρατείας και Διοικητή ΑΑΔΕ Α.1304/2020 «Καθορισμός της διαδικασίας θέσης των Επιβατικών Ιδιωτικής Χρήσης (ΕΙΧ) οχημάτων και μοτοσυκλετών σε ακινησία ηλεκτρονικά, του 2 τύπου της δήλωσης ακινησίας και άρσης αυτής και κάθε άλλης αναγκαίας λεπτομέρειας για τη θέση ΕΙΧ οχήματος σε ακινησία και την άρση αυτής. Περιπτώσεις για τις οποίες η κατάθεση της αίτησης για τη θέση σε ακινησία και την άρση αυτής υποβάλλεται στη Δ.Ο.Υ» (B΄5871).</w:t>
      </w:r>
    </w:p>
    <w:p>
      <w:pPr>
        <w:spacing w:before="240" w:after="240"/>
        <w:rPr>
          <w:lang w:val="el" w:eastAsia="el"/>
        </w:rPr>
      </w:pPr>
      <w:r>
        <w:rPr>
          <w:b/>
          <w:bCs/>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υπό στοιχεία 5294 ΕΞ 2020/17-1- 2020 (Υ.Ο.Δ.Δ. 27) του Υπουργού Οικονομικών και υπό στοιχεία 7608 ΕΞ2025/17-1-2025 (Υ.Ο.Δ.Δ. 11) του Υπουργού Εθνικής Οικονομίας και Οικονομικών, με θέμα «Ανανέωση της θητείας του Διοικητή της Ανεξάρτητης Αρχής Δημοσίων Εσόδων (Α.Α.Δ.Ε.)».</w:t>
      </w:r>
    </w:p>
    <w:p>
      <w:pPr>
        <w:spacing w:before="240" w:after="240"/>
        <w:rPr>
          <w:lang w:val="el" w:eastAsia="el"/>
        </w:rPr>
      </w:pPr>
      <w:r>
        <w:rPr>
          <w:b/>
          <w:bCs/>
          <w:lang w:val="el" w:eastAsia="el"/>
        </w:rPr>
        <w:t xml:space="preserve">4. </w:t>
      </w:r>
      <w:r>
        <w:rPr>
          <w:b/>
          <w:bCs/>
          <w:lang w:val="el" w:eastAsia="el"/>
        </w:rPr>
        <w:t>Την ανάγκη καθορισμού λεπτομερειών εφαρμογής καταβολής αναλογικών τελών κυκλοφορίας και αυτόματης θέσης σε ακινησία από την Ανεξάρτητη Αρχή Δημοσίων Εσόδων επιβατικών ιδιωτικής χρήσης οχημάτων ή μοτοσυκλετών ιδιωτικής χρήσης και ειδικότερα: α) του τρόπου και του ακριβή χρόνου ενημέρωσης του ιδιοκτήτη ή κατόχου για την αυτόματη θέση σε ακινησία, β) της διαδικασίας υποβολής δήλωσης ή μεταβολής του τόπου φύλαξης του οχήματος και των σχετικών προθεσμιών, γ) των ζητημάτων ηλεκτρονικής επικοινωνίας, δ) των ενεργειών των κληρονόμων του ιδιοκτήτη οχήματος, καθώς και των ειδικότερων λεπτομερειών για την επιβολή ή μη επιβολή των προβλεπόμενων κυρώσεων σε περίπτωση θανάτου του ιδιοκτήτη, μεταβίβασης, εξαγωγής ή άλλων ειδικών περιπτώσεων, ε) του ακριβή χρόνου και τρόπου θέσης εκ νέου του οχήματος σε ακινησία, σύμφωνα με το άρθρο 62Α του ν. 5177/2025 (Α΄21).</w:t>
      </w:r>
    </w:p>
    <w:p>
      <w:pPr>
        <w:spacing w:before="240" w:after="240"/>
        <w:rPr>
          <w:lang w:val="el" w:eastAsia="el"/>
        </w:rPr>
      </w:pPr>
      <w:r>
        <w:rPr>
          <w:b/>
          <w:bCs/>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 xml:space="preserve">6. </w:t>
      </w:r>
      <w:r>
        <w:rPr>
          <w:b/>
          <w:bCs/>
          <w:lang w:val="el" w:eastAsia="el"/>
        </w:rPr>
        <w:t>Το γεγονός ότι με τις διατάξεις της παρούσας θεσπίζεται νέα διοικητική διαδικασία με επίσημο τίτλο «Άρση ακινησίας με καταβολή αναλογικών τελών κυκλοφορίας» και Μοναδικό Αριθμό Καταχώρισης (Μ.Α.Κ.) στο ΕΜΔΔ «Μίτος» 243157, 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w:t>
      </w:r>
    </w:p>
    <w:p>
      <w:pPr>
        <w:spacing w:before="240" w:after="240"/>
        <w:rPr>
          <w:lang w:val="el" w:eastAsia="el"/>
        </w:rPr>
      </w:pPr>
      <w:r>
        <w:rPr>
          <w:b/>
          <w:bCs/>
          <w:lang w:val="el" w:eastAsia="el"/>
        </w:rPr>
        <w:t>Άρση ακινησίας με αναλογικήκαταβολή τελών κυκλοφορίας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Από την 1η Απριλίου κάθε έτους ο ιδιοκτήτης ή ο κάτοχος επιβατικού οχήματος ιδιωτικής χρήσης ή μοτοσυκλέτας (δίκυκλης ή τρίκυκλης) ιδιωτικής χρήσης, δύναται μέσω της πλατφόρμας myCAR ή στη Δ.Ο.Υ./Υπηρεσία Φορολογικής Εξυπηρέτησης στην περίπτωση που τα στοιχεία είναι κατατεθειμένα σε αυτές σύμφωνα με το άρθρο 4 της υπό στοιχεία Α. 1304/2020 απόφασης (Β΄ 5871), να άρει μία (1) φορά την ακινησία του οχήματος εντός του ίδιου έτους, κατόπιν καταβολής των δωδεκατημορίων των ετήσιων τελών κυκλοφορίας, τα οποία αντιστοιχούν στους μήνες άρσης της ακινησίας (αναλογική καταβολή).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αναλογική καταβολή διενεργείται πριν την άρση της ακινησίας. Χρονικό διάστημα άρσης μικρότερο του μηνός λογίζεται ως ολόκληρος μήνας.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Εκ νέου άρση ακινησίας είναι δυνατή μόνο εφόσον καταβληθούν τα ετήσια τέλη κυκλοφορίας αφαιρουμένου του ποσού των αναλογικών τελών κυκλοφορίας που έχει καταβληθεί.</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Αναλογικά τέλη κυκλοφορίας τα οποία έχουν καταβληθεί και δεν έχει διενεργηθεί άρση της ακινησίας εντός του έτους δεν επιστρέφονται.</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Θέση σε ακινησία από τον ιδιοκτήτη ή κάτοχο του οχήματος πριν τη συμπλήρωση του χρονικού διαστήματος για το οποίο έχουν καταβληθεί αναλογικά τέλη κυκλοφορίας δεν γεννά υποχρέωση επιστροφής τελών κυκλοφορίας και δεν δύναται να διενεργηθεί εκ νέου άρση της ακινησίας εντός τους διαστήματος αυτού, εκτός αν καταβληθούν τα ετήσια τέλη κυκλοφορίας αφαιρουμένου του ποσού που έχει καταβληθεί.</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Ειδικά για το έτος 2025, η ανωτέρω δυνατότητα της παρ. 1 ισχύει από την 10η Απριλίου 2025.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2Τρόπος και χρόνος εκ νέου θέσης του οχήματος σε ακινησία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ιδιοκτήτης ή κάτοχος του οχήματος υποχρεούται να θέσει εκ νέου το όχημά του σε ακινησία μέσω της πλατφόρμας myCAR σύμφωνα με το άρθρο 1 της υπό στοιχεία Α.1304/2020 απόφασης (B΄5871) έως και την τελευταία ημέρα της περιόδου κυκλοφορίας του, για την οποία έχουν καταβληθεί τα αντίστοιχα αναλογικά τέλη κυκλοφορίας και αν αυτή είναι μη εργάσιμη ή συμπίπτει με επίσημη αργία, κατά την επόμενη εργάσιμη για τις δημόσιες υπηρεσίες ημέρα.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Δεν υφίσταται υποχρέωση εκ νέου θέσης του οχήματος σε ακινησία στη λήξη του διαστήματος, για το οποίο έχουν καταβληθεί αναλογικά τέλη κυκλοφορίας, εφόσον αυτή συμπίπτει με την 31/12 εκάστου έτους κι έχουν καταβληθεί εμπρόθεσμα τα ετήσια τέλη κυκλοφορίας για το επόμενο έτος.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Δεν υφίσταται υποχρέωση θέσης του οχήματος εκ νέου σε ακινησία εφόσον, κατά το διάστημα για το οποίο έχει αρθεί η ακινησία κατόπιν καταβολής των αναλογικών τελών κυκλοφορίας, καταβληθούν τα ετήσια τέλη κυκλοφορίας αφαιρουμένου του ποσού που έχει ήδη καταβληθεί.</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Αυτόματη θέση σε ακινησία μετά την παρέλευσητης περιόδου κυκλοφορίας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Εφόσον το όχημα δεν τεθεί σε ακινησία από τον ιδιοκτήτη ή κάτοχο έως την τελευταία ημέρα της περιόδου κυκλοφορίας, για την οποία έχουν καταβληθεί τα αναλογικά τέλη κυκλοφορίας, η ΑΑΔΕ θέτει το όχημα αυτόματα σε ακινησία κατά το πέρας της τελευταίας ημέρας και ώρα 23.59 και αν αυτή είναι μη εργάσιμη ή συμπίπτει με επίσημη αργία, έως την επόμενη εργάσιμη για τις δημόσιες υπηρεσίες ημέρα και ώρα 23.59.</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όχημα τίθεται σε ακινησία στο αρχικά δηλωθέν σημείο ακινητοποίησης και ενημερώνεται ο ιδιοκτήτης ή ο κάτοχος του οχήματος για την ενέργεια αυτή στη δηλωθείσα στην ΑΑΔΕ διεύθυνση ηλεκτρονικού ταχυδρομείου εντός της ίδιας ημέρας. Σε περίπτωση που κατά την αυτόματη θέση του οχήματος σε ακινησία και εφόσον έχει επέλθει από τον ιδιοκτήτη ή κάτοχο μεταφορά του οχήματος σε νέο σημείο, διαφορετικό από αυτό που αρχικά είχε δηλωθεί, δηλώνεται στην πλατφόρμα myCAR το νέο σημείο ακινητοποίησης από τον ιδιοκτήτη ή κάτοχο μέχρι την επόμενη ημέρα της αυτόματης θέσης σε ακινησία.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που διαπιστωθούν οι παραβάσεις της παρ. 4 του άρθρου 62 από όργανο ελέγχου της παρ. 5 αυτού, μετά από τη θέση σε ακινησία είτε από τον ιδιοκτήτη ή κάτοχο είτε αυτόματα από την ΑΑΔΕ, για την οποία έχει ενημερωθεί ο ιδιοκτήτης ή κάτοχος, επιβάλλονται οι κυρώσεις της παρ. 4 του άρθρου αυτού.</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Το όχημα δεν τίθεται αυτόματα σε ακινησία από την ΑΑΔΕ εφόσον, κατά το διάστημα για το οποίο έχει αρθεί η ακινησία κατόπιν καταβολής αναλογικών τελών κυκλοφορίας, καταβληθούν τα ετήσια τέλη κυκλοφορίας αφαιρουμένου του ποσού που έχει ήδη καταβληθεί.</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Δεν τίθεται όχημα αυτόματα σε ακινησία στη λήξη του διαστήματος για το οποίο έχουν καταβληθεί αναλογικά τέλη κυκλοφορίας εφόσον αυτή συμπίπτει με την 31/12 εκάστου έτους κι έχουν καταβληθεί εμπρόθεσμα τα ετήσια τέλη κυκλοφορίας για το επόμενο έτος.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Ενέργειες συνιδιοκτητών ή κληρονόμων σεπερίπτωση αποβίωσης του ιδιοκτήτη του οχήματος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κατά την οποία μετά από την άρση ακινησίας με αναλογική καταβολή των τελών κυκλοφορίας ο ιδιοκτήτης αποβιώσει, οι τυχόν συνιδιοκτήτες ή κληρονόμοι του οχήματος υποχρεούνται να θέσουν εκ νέου το όχημα σε ακινησία έως και την τελευταία ημέρα της περιόδου για την οποία έχουν καταβληθεί τα τέλη κυκλοφορίας, μέσω της εφαρμογής «Τα Αιτήματά μου» της ΑΑΔΕ, σύμφωνα με το άρθρο 3 της υπό στοιχεία Α.1304/2020 απόφασης (B΄5871) και ενημερώνονται για την ενέργεια αυτή, από την αρμόδια Υπηρεσία της ακινησίας, με μήνυμα ηλεκτρονικού ταχυδρομείου ή με συστημένη επιστολή οι λοιποί συνιδιοκτήτες ή οι κληρονόμοι και επιπλέον οι εγγύτεροι συγγενείς κατά περίπτωση, διαφορετικά η ΑΑΔΕ θέτει το όχημα αυτόματα σε ακινησία στο αρχικώς δηλωθέν σημείο στη λήξη του διαστήματος της περιόδου κυκλοφορίας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Στην περίπτωση αυτόματης θέσης σε ακινησία, ενημερώνονται μέσω μηνύματος ηλεκτρονικού ταχυδρομείου στη δηλωθείσα στην ΑΑΔΕ διεύθυνση ηλεκτρονικού ταχυδρομείου οι συνιδιοκτήτες και επιπλέον οι εγγύτεροι συγγενείς ή κληρονόμοι του αποβιώσαντος για τη θέση του οχήματος σε ακινησία. Σε περίπτωση μεταφοράς του οχήματος σε νέο σημείο, δηλώνεται από οποιοδήποτε από τα πρόσωπα του προηγούμενου εδαφίου η νέα θέση φύλαξης μέσω της ψηφιακής εφαρμογής της ΑΑΔΕ «Τα Αιτήματά μου» στη Δ.Ο.Υ. ή το ΚΕ.ΦΟ.Δ.Ε. του αποβιώσαντος μέχρι την επόμενη ημέρα της αποστολής του μηνύματος.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που διαπιστωθούν οι παραβάσεις της παρ. 4 του άρθρου 62 από όργανο ελέγχου της παρ. 5 αυτού, μετά τη θέση σε ακινησία είτε από τους συνιδιοκτήτες ή κληρονόμους είτε αυτόματα από την ΑΑΔΕ, επιβάλλονται στα ανωτέρω πρόσωπα οι κυρώσεις της παρ. 4 του άρθρου αυτού. Το διοικητικό πρόστιμο των δέκα χιλιάδων (10.000) ευρώ της παρ. 4 επιβάλλεται στο πρόσωπο που έθεσε το όχημα σε ακινησία ή σε περίπτωση αυτόματης θέσης από την ΑΑΔΕ στον εν ζωή συνιδιοκτήτη.</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όχημα που ανήκε εξολοκλήρου σε αποβιώσαντα, το οποίο έχει τεθεί σε ακινησία (είτε από τον ίδιο τον αποβιώσαντα όσο ήταν εν ζωή είτε αυτόματα), για το οποίο διαπιστώνεται παράβαση της παρ. 4 του άρθρου 62 από όργανο ελέγχου της παρ. 5 αυτού, επιβάλλονται στους κληρονόμους για το έτος θανάτου μόνο τα τέλη κυκλοφορίας του έτους, αφαιρουμένου του ποσού που έχει ήδη καταβληθεί, ενώ για το επόμενο έτος, τα τέλη κυκλοφορίας του έτους με το ισόποσο πρόστιμο των τελών κυκλοφορίας της παρ. 3 του άρθρου 60 εφόσον δεν έχουν καταβληθεί. Για το έτος του θανάτου και το επόμενο αυτού δεν επιβάλλεται στα ανωτέρω πρόσωπα το διοικητικό πρόστιμο των δέκα χιλιάδων (10.000) ευρώ της παρ. 4 του άρθρου 62.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5Άρση αναγκαστικής ακινησίας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άρσης αναγκαστικής ακινησίας επιβατικού ιδιωτικής χρήσης αυτοκινήτου οχήματος ή μοτοσικλέτας (δίκυκλης ή τρίκυκλης) ιδιωτικής χρήσης εντός του έτους, καταβάλλονται αναλογικά τέλη κυκλοφορίας για τους μήνες έως τη λήξη του έτους. Η καταβολή των αναλογικών τελών διενεργείται εντός δεκαπέντε (15) ημερών από την ημερομηνία κατά την οποία έπαυσε η αναγκαστική ακινησία, διαφορετικά επιβάλλεται πρόστιμο ίσο με το διπλάσιο των ετήσιων τελών κυκλοφορίας. Για τον υπολογισμό του ποσού των τελών κυκλοφορίας, ο μήνας εντός του οποίου γίνεται η άρση της αναγκαστικής ακινησίας λογίζεται ως ολόκληρος μήνας ανεξάρτητα από τη χρονική στιγμή της άρσης αυτής.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μη εμπρόθεσμης καταβολής των τελών κυκλοφορίας, με πράξη της αρμόδιας υπηρεσίας της φορολογικής διοίκησης διαπιστώνεται το οφειλόμενο ποσό, με βάση την ακριβή ημερομηνία της άρσης αναγκαστικής ακινησίας.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6Μεταβίβαση οχήματος - Οριστική διαγραφή λόγω εξαγωγής</w:t>
      </w:r>
    </w:p>
    <w:p>
      <w:pPr>
        <w:spacing w:before="240" w:after="240"/>
        <w:rPr>
          <w:lang w:val="el" w:eastAsia="el"/>
        </w:rPr>
      </w:pPr>
      <w:r>
        <w:rPr>
          <w:b/>
          <w:bCs/>
          <w:lang w:val="el" w:eastAsia="el"/>
        </w:rPr>
        <w:t>Αν, κατά τη διάρκεια της άρσης ακινησίας με αναλογικά τέλη, το όχημα μεταβιβαστεί ή διαγραφεί οριστικά λόγω εξαγωγής, για το έτος αυτό οφείλονται από τα πρόσωπα του άρθρου 58 τα ετήσια τέλη κυκλοφορίας, αφαιρουμένου του ποσού που έχει ήδη καταβληθεί και δεν υφίσταται υποχρέωση για εκ νέου θέση σε ακινησία.</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I. </w:t>
      </w:r>
      <w:r>
        <w:rPr>
          <w:b/>
          <w:bCs/>
          <w:lang w:val="el" w:eastAsia="el"/>
        </w:rPr>
        <w:t>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των αριθμ. 1, 2, 3 και 7</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5. </w:t>
      </w:r>
      <w:r>
        <w:rPr>
          <w:b/>
          <w:bCs/>
          <w:lang w:val="el" w:eastAsia="el"/>
        </w:rPr>
        <w:t>Εθνικό Τυπογραφείο για δημοσίευση σε ΦΕΚ</w:t>
      </w:r>
    </w:p>
    <w:p>
      <w:pPr>
        <w:spacing w:before="240" w:after="240"/>
        <w:rPr>
          <w:lang w:val="el" w:eastAsia="el"/>
        </w:rPr>
      </w:pPr>
      <w:r>
        <w:rPr>
          <w:b/>
          <w:bCs/>
          <w:lang w:val="el" w:eastAsia="el"/>
        </w:rPr>
        <w:t xml:space="preserve">II. </w:t>
      </w:r>
      <w:r>
        <w:rPr>
          <w:b/>
          <w:bCs/>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μόνο οι αριθμ. 1 και 4</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Γ΄, μόνο οι αριθμ. 1, 2, 3 και 7</w:t>
      </w:r>
    </w:p>
    <w:p>
      <w:pPr>
        <w:spacing w:before="240" w:after="240"/>
        <w:rPr>
          <w:lang w:val="el" w:eastAsia="el"/>
        </w:rPr>
      </w:pPr>
      <w:r>
        <w:rPr>
          <w:b/>
          <w:bCs/>
          <w:lang w:val="el" w:eastAsia="el"/>
        </w:rPr>
        <w:t xml:space="preserve">4. </w:t>
      </w:r>
      <w:r>
        <w:rPr>
          <w:b/>
          <w:bCs/>
          <w:lang w:val="el" w:eastAsia="el"/>
        </w:rPr>
        <w:t>Αποδέκτες Πίνακα Δ΄</w:t>
      </w:r>
    </w:p>
    <w:p>
      <w:pPr>
        <w:spacing w:before="240" w:after="240"/>
        <w:rPr>
          <w:lang w:val="el" w:eastAsia="el"/>
        </w:rPr>
      </w:pPr>
      <w:r>
        <w:rPr>
          <w:b/>
          <w:bCs/>
          <w:lang w:val="el" w:eastAsia="el"/>
        </w:rPr>
        <w:t xml:space="preserve">5. </w:t>
      </w:r>
      <w:r>
        <w:rPr>
          <w:b/>
          <w:bCs/>
          <w:lang w:val="el" w:eastAsia="el"/>
        </w:rPr>
        <w:t>Αποδέκτες Πίνακα Ζ΄</w:t>
      </w:r>
    </w:p>
    <w:p>
      <w:pPr>
        <w:spacing w:before="240" w:after="240"/>
        <w:rPr>
          <w:lang w:val="el" w:eastAsia="el"/>
        </w:rPr>
      </w:pPr>
      <w:r>
        <w:rPr>
          <w:b/>
          <w:bCs/>
          <w:lang w:val="el" w:eastAsia="el"/>
        </w:rPr>
        <w:t xml:space="preserve">6. </w:t>
      </w:r>
      <w:r>
        <w:rPr>
          <w:b/>
          <w:bCs/>
          <w:lang w:val="el" w:eastAsia="el"/>
        </w:rPr>
        <w:t>Αποδέκτες Πίνακα Η΄</w:t>
      </w:r>
    </w:p>
    <w:p>
      <w:pPr>
        <w:spacing w:before="240" w:after="240"/>
        <w:rPr>
          <w:lang w:val="el" w:eastAsia="el"/>
        </w:rPr>
      </w:pPr>
      <w:r>
        <w:rPr>
          <w:b/>
          <w:bCs/>
          <w:lang w:val="el" w:eastAsia="el"/>
        </w:rPr>
        <w:t xml:space="preserve">7. </w:t>
      </w:r>
      <w:r>
        <w:rPr>
          <w:b/>
          <w:bCs/>
          <w:lang w:val="el" w:eastAsia="el"/>
        </w:rPr>
        <w:t>Αποδέκτες Πίνακα Θ΄</w:t>
      </w:r>
    </w:p>
    <w:p>
      <w:pPr>
        <w:spacing w:before="240" w:after="240"/>
        <w:rPr>
          <w:lang w:val="el" w:eastAsia="el"/>
        </w:rPr>
      </w:pPr>
      <w:r>
        <w:rPr>
          <w:b/>
          <w:bCs/>
          <w:lang w:val="el" w:eastAsia="el"/>
        </w:rPr>
        <w:t xml:space="preserve">8. </w:t>
      </w:r>
      <w:r>
        <w:rPr>
          <w:b/>
          <w:bCs/>
          <w:lang w:val="el" w:eastAsia="el"/>
        </w:rPr>
        <w:t>Αποδέκτες Πίνακα ΙΒ΄</w:t>
      </w:r>
    </w:p>
    <w:p>
      <w:pPr>
        <w:spacing w:before="240" w:after="240"/>
        <w:rPr>
          <w:lang w:val="el" w:eastAsia="el"/>
        </w:rPr>
      </w:pPr>
      <w:r>
        <w:rPr>
          <w:b/>
          <w:bCs/>
          <w:lang w:val="el" w:eastAsia="el"/>
        </w:rPr>
        <w:t xml:space="preserve">9. </w:t>
      </w:r>
      <w:r>
        <w:rPr>
          <w:b/>
          <w:bCs/>
          <w:lang w:val="el" w:eastAsia="el"/>
        </w:rPr>
        <w:t>Αποδέκτες Πίνακα ΙΣΤ΄</w:t>
      </w:r>
    </w:p>
    <w:p>
      <w:pPr>
        <w:spacing w:before="240" w:after="240"/>
        <w:rPr>
          <w:lang w:val="el" w:eastAsia="el"/>
        </w:rPr>
      </w:pPr>
      <w:r>
        <w:rPr>
          <w:b/>
          <w:bCs/>
          <w:lang w:val="el" w:eastAsia="el"/>
        </w:rPr>
        <w:t xml:space="preserve">10. </w:t>
      </w:r>
      <w:r>
        <w:rPr>
          <w:b/>
          <w:bCs/>
          <w:lang w:val="el" w:eastAsia="el"/>
        </w:rPr>
        <w:t>Αποδέκτες Πίνακα ΙΖ΄</w:t>
      </w:r>
    </w:p>
    <w:p>
      <w:pPr>
        <w:spacing w:before="240" w:after="240"/>
        <w:rPr>
          <w:lang w:val="el" w:eastAsia="el"/>
        </w:rPr>
      </w:pPr>
      <w:r>
        <w:rPr>
          <w:b/>
          <w:bCs/>
          <w:lang w:val="el" w:eastAsia="el"/>
        </w:rPr>
        <w:t xml:space="preserve">11. </w:t>
      </w:r>
      <w:r>
        <w:rPr>
          <w:b/>
          <w:bCs/>
          <w:lang w:val="el" w:eastAsia="el"/>
        </w:rPr>
        <w:t>Αποδέκτες Πίνακα ΙΘ΄</w:t>
      </w:r>
    </w:p>
    <w:p>
      <w:pPr>
        <w:spacing w:before="240" w:after="240"/>
        <w:rPr>
          <w:lang w:val="el" w:eastAsia="el"/>
        </w:rPr>
      </w:pPr>
      <w:r>
        <w:rPr>
          <w:b/>
          <w:bCs/>
          <w:lang w:val="el" w:eastAsia="el"/>
        </w:rPr>
        <w:t xml:space="preserve">12 </w:t>
      </w:r>
      <w:r>
        <w:rPr>
          <w:b/>
          <w:bCs/>
          <w:lang w:val="el" w:eastAsia="el"/>
        </w:rPr>
        <w:t>Αποδέκτες Πίνακα ΚΒ΄</w:t>
      </w:r>
    </w:p>
    <w:p>
      <w:pPr>
        <w:spacing w:before="240" w:after="240"/>
        <w:rPr>
          <w:lang w:val="el" w:eastAsia="el"/>
        </w:rPr>
      </w:pPr>
      <w:r>
        <w:rPr>
          <w:b/>
          <w:bCs/>
          <w:lang w:val="el" w:eastAsia="el"/>
        </w:rPr>
        <w:t xml:space="preserve">13.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14.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15.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 xml:space="preserve">III. </w:t>
      </w:r>
      <w:r>
        <w:rPr>
          <w:b/>
          <w:bCs/>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Δ/νση Νομικής Υποστήριξης ΑΑΔΕ</w:t>
      </w:r>
    </w:p>
    <w:p>
      <w:pPr>
        <w:spacing w:before="240" w:after="240"/>
        <w:rPr>
          <w:lang w:val="el" w:eastAsia="el"/>
        </w:rPr>
      </w:pPr>
      <w:r>
        <w:rPr>
          <w:b/>
          <w:bCs/>
          <w:lang w:val="el" w:eastAsia="el"/>
        </w:rPr>
        <w:t xml:space="preserve">4.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5. </w:t>
      </w:r>
      <w:r>
        <w:rPr>
          <w:b/>
          <w:bCs/>
          <w:lang w:val="el" w:eastAsia="el"/>
        </w:rPr>
        <w:t>Διεύθυνση Επιχειρησιακών Διαδικασιών</w:t>
      </w:r>
    </w:p>
    <w:p>
      <w:pPr>
        <w:spacing w:before="240" w:after="240"/>
        <w:rPr>
          <w:lang w:val="el" w:eastAsia="el"/>
        </w:rPr>
      </w:pPr>
      <w:r>
        <w:rPr>
          <w:b/>
          <w:bCs/>
          <w:lang w:val="el" w:eastAsia="el"/>
        </w:rPr>
        <w:t xml:space="preserve">6.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