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77129 ΕΞ 2025</w:t>
      </w:r>
    </w:p>
    <w:p>
      <w:pPr>
        <w:spacing w:before="240" w:after="240"/>
        <w:rPr>
          <w:lang w:val="el" w:eastAsia="el"/>
        </w:rPr>
      </w:pPr>
      <w:r>
        <w:rPr>
          <w:b/>
          <w:bCs/>
          <w:lang w:val="el" w:eastAsia="el"/>
        </w:rPr>
        <w:t>Τροποποίηση της υπό στοιχεία 67360 ΕΞ 2021 κοινής απόφασης των Υπουργών Οικονομικών, Ανάπτυξης και Επενδύσεων και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ΑΝΑΠΤΥΞΗΣ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υπό στοιχεία 67360 ΕΞ 2021 κοινή απόφαση των Υπουργών Οικονομικών, Ανάπτυξης και Επενδύσεων και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2. Την παρ. 2 του άρθρου μόνου της υπό στοιχεία 74169 ΕΞ 2022 κοινής απόφασης των Υπουργών Οικονομικών, Ανάπτυξης και Επενδύσεων, Εργασίας και Κοινωνικών Υποθέσεων «Τροποποίηση της υπό στοιχεία 67360 ΕΞ 2021 απόφασης των Υπουργών Οικονομικών - Ανάπτυξης και Επενδύσεων - Εργασίας και Κοινωνικών Υποθέσεων“Ρύθμιση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(Β’ 2737).</w:t>
      </w:r>
    </w:p>
    <w:p>
      <w:pPr>
        <w:spacing w:before="240" w:after="240"/>
        <w:rPr>
          <w:lang w:val="el" w:eastAsia="el"/>
        </w:rPr>
      </w:pPr>
      <w:r>
        <w:rPr>
          <w:lang w:val="el" w:eastAsia="el"/>
        </w:rPr>
        <w:t>3. Τις παρ. 2 και 5 του άρθρου μόνου της υπό στοιχεία 40953 ΕΞ 2023 κοινής απόφασης των Υπουργών Οικονομικών, Ανάπτυξης και Επενδύσεων, Εργασίας και Κοινωνικών Υποθέσεων «Τροποποίηση της υπό στοιχεία 67360 ΕΞ 2021 απόφασης των Υπουργών Οικονομικών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(Β’ 1610).</w:t>
      </w:r>
    </w:p>
    <w:p>
      <w:pPr>
        <w:spacing w:before="240" w:after="240"/>
        <w:rPr>
          <w:lang w:val="el" w:eastAsia="el"/>
        </w:rPr>
      </w:pPr>
      <w:r>
        <w:rPr>
          <w:lang w:val="el" w:eastAsia="el"/>
        </w:rPr>
        <w:t>4. Την παρ. 2 του άρθρου μόνου της υπό στοιχεία 77522 ΕΞ 2024 κοινής απόφασης των Υπουργών Εθνικής Οικονομίας και Οικονομικών, Ανάπτυξης και Εργασίας και Κοινωνικής Ασφάλισης «Τροποποίηση της υπό στοιχεία 67360 ΕΞ 2021 κοινής απόφασης των Υπουργών Οικονομικών, Ανάπτυξης και Επενδύσεων και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καθώς και της υπό στοιχεία 40953 ΕΞ 2023 κοινής απόφασης των Υπουργών Οικονομικών, Ανάπτυξης και Επενδύσεων και Εργασίας και Κοινωνικών Υποθέσεων “Τροποποίηση της υπό στοιχεία 67360 ΕΞ 2021 απόφασης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 (Β’ 1610)» (Β’ 3258).</w:t>
      </w:r>
    </w:p>
    <w:p>
      <w:pPr>
        <w:spacing w:before="240" w:after="240"/>
        <w:rPr>
          <w:lang w:val="el" w:eastAsia="el"/>
        </w:rPr>
      </w:pPr>
      <w:r>
        <w:rPr>
          <w:lang w:val="el" w:eastAsia="el"/>
        </w:rPr>
        <w:t>5. Την παρ. 2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6. 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7.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spacing w:before="240" w:after="240"/>
        <w:rPr>
          <w:lang w:val="el" w:eastAsia="el"/>
        </w:rPr>
      </w:pPr>
      <w:r>
        <w:rPr>
          <w:lang w:val="el" w:eastAsia="el"/>
        </w:rPr>
        <w:t>8.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9. Το π.δ. 142/2017 «Οργανισμός Υπουργείου Οικονομικών» (Α’ 181).</w:t>
      </w:r>
    </w:p>
    <w:p>
      <w:pPr>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11. Το π.δ. 5/2022 «Οργανισμός Υπουργείου Ανάπτυξης και Επενδύσεων» (Α’ 15).</w:t>
      </w:r>
    </w:p>
    <w:p>
      <w:pPr>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13. Το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77/2003 (Α’ 130) - Μεταβατικές διατάξεις» (Α’ 139).</w:t>
      </w:r>
    </w:p>
    <w:p>
      <w:pPr>
        <w:spacing w:before="240" w:after="240"/>
        <w:rPr>
          <w:lang w:val="el" w:eastAsia="el"/>
        </w:rPr>
      </w:pPr>
      <w:r>
        <w:rPr>
          <w:lang w:val="el" w:eastAsia="el"/>
        </w:rPr>
        <w:t>14. Το π.δ. 32/2024 «Διορισμός Υπουργών και Υφυπουργών» (Α’ 91).</w:t>
      </w:r>
    </w:p>
    <w:p>
      <w:pPr>
        <w:spacing w:before="240" w:after="240"/>
        <w:rPr>
          <w:lang w:val="el" w:eastAsia="el"/>
        </w:rPr>
      </w:pPr>
      <w:r>
        <w:rPr>
          <w:lang w:val="el" w:eastAsia="el"/>
        </w:rPr>
        <w:t>15. 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16.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17.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18.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19. Το γεγονός ότι οι διατάξεις της παρούσας δεν αφορούν σε διοικητική διαδικασία για την οποία υπάρχει υποχρέωση καταχώρισης στο ΕΜΔΔ -ΜΙΤΟΣ, αποφασίζουμε:</w:t>
      </w:r>
    </w:p>
    <w:p>
      <w:pPr>
        <w:spacing w:before="240" w:after="240"/>
        <w:rPr>
          <w:lang w:val="el" w:eastAsia="el"/>
        </w:rPr>
      </w:pPr>
      <w:r>
        <w:rPr>
          <w:lang w:val="el" w:eastAsia="el"/>
        </w:rPr>
        <w:t>Από την παρ. 7 του άρθρου 8Α της υπό στοιχεία 67360 ΕΞ 2021 (Β’ 2499) απόφασης των Υπουργών Οικονομικών, Ανάπτυξης και Επενδύσεων και Εργασίας και Κοινωνικών Υποθέσεων με τίτλο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και ειδικώς από τα σημεία υπό στοιχεία 1, 3 και 4 αυτής, απαλείφεται η αναφορά στους «χρεωστικούς τόκους» και τα συναφή έξοδα και εφαρμόζεται ποσοστό 10% επί του κύκλου εργασιών σε περίπτωση Νομικού Προσώπου μικρής κατηγορίας. Συνακόλουθα η παρ. 7 διαμορφώνεται ως εξής:</w:t>
      </w:r>
    </w:p>
    <w:p>
      <w:pPr>
        <w:spacing w:before="240" w:after="240"/>
        <w:rPr>
          <w:lang w:val="el" w:eastAsia="el"/>
        </w:rPr>
      </w:pPr>
      <w:r>
        <w:rPr>
          <w:lang w:val="el" w:eastAsia="el"/>
        </w:rPr>
        <w:t>«7. Ο υπολογισμός της ΚΠΑ της ΜΔΑΧΟ (Μέγιστη Δυνατότητα Αποπληρωμής Χρέους Οφειλέτη) Νομικού Προσώπου γίνεται μέσω των φορολογικών στοιχείων του ως εξής:</w:t>
      </w:r>
    </w:p>
    <w:p>
      <w:pPr>
        <w:spacing w:before="240" w:after="240"/>
        <w:rPr>
          <w:lang w:val="el" w:eastAsia="el"/>
        </w:rPr>
      </w:pPr>
      <w:r>
        <w:rPr>
          <w:lang w:val="el" w:eastAsia="el"/>
        </w:rPr>
        <w:t>Για τον υπολογισμό του διαθέσιμου ετήσιου εισοδήματος 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 o ενιαίος φόρος ιδιοκτησίας ακινήτων (ΕΝΦΙΑ) εφόσον υφίσταται.</w:t>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και πραγματοποιούνται οι υπολογισμοί των δόσεων ανά έτος βάσει των παρ. 2 και 5 του άρθρου 8Α της υπό στοιχεία 67360 ΕΞ 2021 (Β’ 2499) κοινής υπουργικής απόφασης. Όσον αφορά στον ενιαίο φόρο ιδιοκτησίας ακινήτων (ΕΝΦΙΑ), λαμβάνονται υπόψη τα στοιχεία του τελευταίου έτους.</w:t>
      </w:r>
    </w:p>
    <w:p>
      <w:pPr>
        <w:spacing w:before="240" w:after="240"/>
        <w:rPr>
          <w:lang w:val="el" w:eastAsia="el"/>
        </w:rPr>
      </w:pPr>
      <w:r>
        <w:rPr>
          <w:lang w:val="el" w:eastAsia="el"/>
        </w:rPr>
        <w:t>4) Σε περίπτωση που το ανωτέρω ποσό είναι μικρότερο του ποσοστού 10% επί του κύκλου εργασιών Νομικού Προσώπου μικρής κατηγορίας με Κύκλο Εργασιών μικρότερο των € 2,5 εκατομμυρίων σε κάθε έτος της τελευταίας τριετίας, όπως προκύπτει από το έντυπο Ε3 (Κατάσταση Οικονομικών Στοιχείων από Επιχειρηματική Δραστηριότητα) βάσει του πεδίου «Πωλήσεις αγαθών και παροχή υπηρεσιών» (βλ. κωδικός «500»), τότε το διαθέσιμο ετήσιο εισόδημα αναπροσαρμόζεται στο εν λόγω ποσό που προκύπτει μετά την εφαρμογή του ποσοστού κέρδους 10% επί του Κύκλου Εργασιών του Νομικού Προσώπου και εφαρμόζεται ο μέγιστος αριθμός δόσεων ανά κατηγορία οφειλής εκάστου πιστωτή.</w:t>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spacing w:before="240" w:after="240"/>
        <w:rPr>
          <w:lang w:val="el" w:eastAsia="el"/>
        </w:rPr>
      </w:pPr>
      <w:r>
        <w:rPr>
          <w:lang w:val="el" w:eastAsia="el"/>
        </w:rPr>
        <w:t>- Το 95% των καταθέσεων. Εφόσον από τον ανωτέρω υπολογισμό δεν προκύπτει διαθέσιμο ποσό καταθέσεων, το σχετικό πεδίο λαμβάνει μηδενική τιμή.</w:t>
      </w:r>
    </w:p>
    <w:p>
      <w:pPr>
        <w:spacing w:before="240" w:after="240"/>
        <w:rPr>
          <w:lang w:val="el" w:eastAsia="el"/>
        </w:rPr>
      </w:pPr>
      <w:r>
        <w:rPr>
          <w:lang w:val="el" w:eastAsia="el"/>
        </w:rPr>
        <w:t>- Τα επενδυτικά προϊόντα.</w:t>
      </w:r>
    </w:p>
    <w:p>
      <w:pPr>
        <w:spacing w:before="240" w:after="240"/>
        <w:rPr>
          <w:lang w:val="el" w:eastAsia="el"/>
        </w:rPr>
      </w:pPr>
      <w:r>
        <w:rPr>
          <w:lang w:val="el" w:eastAsia="el"/>
        </w:rPr>
        <w:t>Ο τελικός υπολογισμός της ΚΠΑ της ΜΔΑΧΟ Νομικού Προσώπου που προκύπτει από το άθροισμα της ΚΠΑ Ποσού Ταμειακών Διαθεσίμων και επενδυτικών προϊόντων και της ΚΠΑ του Εισοδήματος του οφειλέτη (Βήμα 2) ως εξής:</w:t>
      </w:r>
    </w:p>
    <w:p>
      <w:pPr>
        <w:spacing w:before="240" w:after="240"/>
        <w:rPr>
          <w:lang w:val="el" w:eastAsia="el"/>
        </w:rPr>
      </w:pPr>
      <w:r>
        <w:rPr>
          <w:lang w:val="el" w:eastAsia="el"/>
        </w:rPr>
        <w:t>ΚΠΑ ΜΔΑΧΟ = ΚΠΑ [95% Καταθέσεων + Επενδυτικών Προϊόντων] ΜΔΧ</w:t>
      </w:r>
    </w:p>
    <w:p>
      <w:pPr>
        <w:spacing w:before="240" w:after="240"/>
        <w:rPr>
          <w:lang w:val="el" w:eastAsia="el"/>
        </w:rPr>
      </w:pPr>
      <w:r>
        <w:rPr>
          <w:lang w:val="el" w:eastAsia="el"/>
        </w:rPr>
        <w:t>+ Σ ΚΠΑ [Διαθέσιμο Εισόδημα οφειλέτη έτος]</w:t>
      </w:r>
    </w:p>
    <w:p>
      <w:pPr>
        <w:spacing w:before="240" w:after="240"/>
        <w:rPr>
          <w:lang w:val="el" w:eastAsia="el"/>
        </w:rPr>
      </w:pPr>
      <w:r>
        <w:rPr>
          <w:lang w:val="el" w:eastAsia="el"/>
        </w:rPr>
        <w:t>έτος = 1</w:t>
      </w:r>
    </w:p>
    <w:p>
      <w:pPr>
        <w:spacing w:before="240" w:after="240"/>
        <w:rPr>
          <w:lang w:val="el" w:eastAsia="el"/>
        </w:rPr>
      </w:pPr>
      <w:r>
        <w:rPr>
          <w:lang w:val="el" w:eastAsia="el"/>
        </w:rPr>
        <w:t>»</w:t>
      </w:r>
    </w:p>
    <w:p>
      <w:pPr>
        <w:spacing w:before="240" w:after="240"/>
        <w:rPr>
          <w:lang w:val="el" w:eastAsia="el"/>
        </w:rPr>
      </w:pPr>
      <w:r>
        <w:rPr>
          <w:lang w:val="el" w:eastAsia="el"/>
        </w:rPr>
        <w:t>Κατά τα λοιπά ισχύει η υπό στοιχεία 67360 ΕΞ 2021 κοινή υπουργική απόφαση. Η ισχύς της παρούσας εκκινεί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Αγ. Ι. Ρέντης, 7 Μαΐου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