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29735</w:t>
      </w:r>
    </w:p>
    <w:p>
      <w:pPr>
        <w:pStyle w:val="PreambelText"/>
        <w:spacing w:before="240" w:after="240"/>
        <w:rPr>
          <w:lang w:val="el" w:eastAsia="el"/>
        </w:rPr>
      </w:pPr>
      <w:r>
        <w:rPr>
          <w:b/>
          <w:bCs/>
          <w:lang w:val="el" w:eastAsia="el"/>
        </w:rPr>
        <w:t>Τροποποίηση της υπό στοιχεία 74617ΕΞ2021/ 23.06.2021 κοινής απόφασης του Υπουργού και του Υφυπουργού Οικονομικών «Ρύθμιση ειδικότερων θεμάτων επί των διαδικασιών επιχορήγησης επιχειρήσεων για θεομηνίες του ν. 4797/2021 (Α’ 66)» (Β’ 2670).</w:t>
      </w:r>
    </w:p>
    <w:p>
      <w:pPr>
        <w:pStyle w:val="PreambelText"/>
        <w:spacing w:before="240" w:after="240"/>
        <w:rPr>
          <w:lang w:val="el" w:eastAsia="el"/>
        </w:rPr>
      </w:pPr>
      <w:r>
        <w:rPr>
          <w:b/>
          <w:bCs/>
          <w:lang w:val="el" w:eastAsia="el"/>
        </w:rPr>
        <w:t>Ο ΥΦΥΠΟΥΡΓΟΣ ΚΛΙΜΑΤΙΚΗΣ ΚΡΙΣΗΣ ΚΑΙ ΠΟΛΙΤΙΚΗΣ ΠΡΟΣΤΑΣΙΑΣ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την παρ. 7 του άρθρου 7, την παρ. 4 του άρθρου 8, το άρθρο 9 και την παρ. 3 του άρθρου 22.</w:t>
      </w:r>
    </w:p>
    <w:p>
      <w:pPr>
        <w:pStyle w:val="PreambelText"/>
        <w:spacing w:before="240" w:after="240"/>
        <w:rPr>
          <w:lang w:val="el" w:eastAsia="el"/>
        </w:rPr>
      </w:pPr>
      <w:r>
        <w:rPr>
          <w:lang w:val="el" w:eastAsia="el"/>
        </w:rPr>
        <w:t>2. Τον ν. 5000/2022 «Ενσωμάτωση στην ελληνική νομοθεσία της Οδηγίας (ΕΕ) 2019/2235 - Κύρωση Πρόσθετης Πράξης στο Νέο Συνυποσχετικό μεταξύ του Ελληνικού Δημοσίου και της Ναυτιλιακής Κοινότητας και φορολογικές ρυθμίσεις για τη ναυτιλία - Επείγουσες φορολογικές και τελωνειακές ρυθμίσεις - Θεσμικό πλαίσιο λειτουργίας της Κεντρικής Μονάδας Κρατικών Ενισχύσεων και του Δικτύου Κρατικών Ενισχύσεων - Μισθολογικές ρυθμίσεις και άλλες διατάξεις οικονομικού και αναπτυξιακού χαρακτήρα» (Α’ 226).</w:t>
      </w:r>
    </w:p>
    <w:p>
      <w:pPr>
        <w:pStyle w:val="PreambelText"/>
        <w:spacing w:before="240" w:after="240"/>
        <w:rPr>
          <w:lang w:val="el" w:eastAsia="el"/>
        </w:rPr>
      </w:pPr>
      <w:r>
        <w:rPr>
          <w:lang w:val="el" w:eastAsia="el"/>
        </w:rPr>
        <w:t>3. Το Κεφάλαιο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4.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6. Τον ν. 4172/2013 «Φορολογία εισοδήματος, επείγοντα μέτρα εφαρμογής του ν. 4046/2012, του ν. 4093/2012 και του ν. 4127/2013 και άλλες διατάξεις» (Α’ 167).</w:t>
      </w:r>
    </w:p>
    <w:p>
      <w:pPr>
        <w:pStyle w:val="PreambelText"/>
        <w:spacing w:before="240" w:after="240"/>
        <w:rPr>
          <w:lang w:val="el" w:eastAsia="el"/>
        </w:rPr>
      </w:pPr>
      <w:r>
        <w:rPr>
          <w:lang w:val="el" w:eastAsia="el"/>
        </w:rPr>
        <w:t>7. Τον ν. 3852/2010 «Νέα Αρχιτεκτονική της Αυτοδιοίκησης και της Αποκεντρωμένης Διοίκησης - Πρόγραμμα Καλλικράτης» (Α’ 87) και ιδίως το άρθρο 160.</w:t>
      </w:r>
    </w:p>
    <w:p>
      <w:pPr>
        <w:pStyle w:val="PreambelText"/>
        <w:spacing w:before="240" w:after="240"/>
        <w:rPr>
          <w:lang w:val="el" w:eastAsia="el"/>
        </w:rPr>
      </w:pPr>
      <w:r>
        <w:rPr>
          <w:lang w:val="el" w:eastAsia="el"/>
        </w:rPr>
        <w:t>8. Το άρθρο 10 του ν. 2576/1998 «Βελτίωση των διαδικασιών για την ανάθεση της κατασκευής των δημοσίων έργων και άλλες διατάξεις» (Α’ 25), όπως τροποποιήθηκε με το άρθρο 84 του ν. 4313/2014 (Α’ 261).</w:t>
      </w:r>
    </w:p>
    <w:p>
      <w:pPr>
        <w:pStyle w:val="PreambelText"/>
        <w:spacing w:before="240" w:after="240"/>
        <w:rPr>
          <w:lang w:val="el" w:eastAsia="el"/>
        </w:rPr>
      </w:pPr>
      <w:r>
        <w:rPr>
          <w:lang w:val="el" w:eastAsia="el"/>
        </w:rPr>
        <w:t>9. Το π.δ. 27/2025 «Διορισμός Υπουργών, Αναπληρωτή Υπουργού, Υφυπουργών και Αντιπροέδρου της Κυβέρνησης» (Α’ 44).</w:t>
      </w:r>
    </w:p>
    <w:p>
      <w:pPr>
        <w:pStyle w:val="PreambelText"/>
        <w:spacing w:before="240" w:after="240"/>
        <w:rPr>
          <w:lang w:val="el" w:eastAsia="el"/>
        </w:rPr>
      </w:pPr>
      <w:r>
        <w:rPr>
          <w:lang w:val="el" w:eastAsia="el"/>
        </w:rPr>
        <w:t>10.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σε συνδυασμό με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11. To π.δ. 80/2016 «Ανάληψη υποχρεώσεων από τους διατάκτες» (Α’ 145).</w:t>
      </w:r>
    </w:p>
    <w:p>
      <w:pPr>
        <w:pStyle w:val="PreambelText"/>
        <w:spacing w:before="240" w:after="240"/>
        <w:rPr>
          <w:lang w:val="el" w:eastAsia="el"/>
        </w:rPr>
      </w:pPr>
      <w:r>
        <w:rPr>
          <w:lang w:val="el" w:eastAsia="el"/>
        </w:rPr>
        <w:t>12. Το άρθρο 90 του Κώδικα νομοθεσίας για την Κυβέρνηση και τα κυβερνητικά όργανα (π.δ. 63/2005, A’ 98), το οποίο διατηρήθηκε σε ισχύ με την περ. 22 του άρθρου 119 του ν. 4622/2019 (Α’ 133).</w:t>
      </w:r>
    </w:p>
    <w:p>
      <w:pPr>
        <w:pStyle w:val="PreambelText"/>
        <w:spacing w:before="240" w:after="240"/>
        <w:rPr>
          <w:lang w:val="el" w:eastAsia="el"/>
        </w:rPr>
      </w:pPr>
      <w:r>
        <w:rPr>
          <w:lang w:val="el" w:eastAsia="el"/>
        </w:rPr>
        <w:t>13.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26-6-2014, σ. 1), ιδίως το άρθρο 1 παρ. 5 αυτού σχετικά με τον αποκλεισμό των μέτρων ενισχύσεων που παραβιάζουν το δίκαιο της Ένωσης, καθώς και τα άρθρα 7, 9, 11, 12 και 50 του ίδιου Κανονισμού,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2022/2472 της Επιτροπής της 14ης Δεκεμβρίου 2022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327/21-12-2022), και ιδίως τα άρθρα 7, 9, 11, 13 και 37 αυτού.</w:t>
      </w:r>
    </w:p>
    <w:p>
      <w:pPr>
        <w:pStyle w:val="StructureList1"/>
        <w:spacing w:before="120" w:after="0"/>
        <w:rPr>
          <w:lang w:val="el" w:eastAsia="el"/>
        </w:rPr>
      </w:pPr>
      <w:r>
        <w:rPr>
          <w:lang w:val="el" w:eastAsia="el"/>
        </w:rPr>
        <w:t>δ)</w:t>
      </w:r>
      <w:r>
        <w:rPr>
          <w:lang w:val="en" w:eastAsia="en"/>
        </w:rPr>
        <w:tab/>
      </w:r>
      <w:r>
        <w:rPr>
          <w:lang w:val="el" w:eastAsia="el"/>
        </w:rPr>
        <w:t>τον Κανονισμό (ΕΕ) 2022/2473 της Επιτροπής της 14ης Δεκεμβρίου 2022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(EE L 327/21.12.2022) και ιδίως τα άρθρα 7, 9, 11, 13 και 49 αυτού,</w:t>
      </w:r>
    </w:p>
    <w:p>
      <w:pPr>
        <w:pStyle w:val="StructureList1"/>
        <w:spacing w:before="120" w:after="0"/>
        <w:rPr>
          <w:lang w:val="el" w:eastAsia="el"/>
        </w:rPr>
      </w:pPr>
      <w:r>
        <w:rPr>
          <w:lang w:val="el" w:eastAsia="el"/>
        </w:rPr>
        <w:t>ε)</w:t>
      </w:r>
      <w:r>
        <w:rPr>
          <w:lang w:val="en" w:eastAsia="en"/>
        </w:rPr>
        <w:tab/>
      </w:r>
      <w:r>
        <w:rPr>
          <w:lang w:val="el" w:eastAsia="el"/>
        </w:rPr>
        <w:t>τον ορισμό της «Επιχείρησης» σύμφωνα με το άρθρο 1 του Παραρτήματος Ι των Κανονισμών (ΕΕ) 651/2014, 2022/2472 και 2022/2473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14. Την υπό στοιχεία ΥΠ 614/2025 κοινή απόφαση του Πρωθυπουργού και του Υπουργού Κλιματικής Κρίσης και Πολιτικής Προστασίας «Ανάθεση αρμοδιοτήτων στον Υφυπουργό Κλιματικής Κρίσης και Πολιτικής Προστασίας, Κωνσταντίνο Κατσαφάδο» (Β’ 1400).</w:t>
      </w:r>
    </w:p>
    <w:p>
      <w:pPr>
        <w:pStyle w:val="PreambelText"/>
        <w:spacing w:before="240" w:after="240"/>
        <w:rPr>
          <w:lang w:val="el" w:eastAsia="el"/>
        </w:rPr>
      </w:pPr>
      <w:r>
        <w:rPr>
          <w:lang w:val="el" w:eastAsia="el"/>
        </w:rPr>
        <w:t>15. Την υπό στοιχεία 74617ΕΞ2021/23.06.2021 κοινή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(Β’ 2670).</w:t>
      </w:r>
    </w:p>
    <w:p>
      <w:pPr>
        <w:pStyle w:val="PreambelText"/>
        <w:spacing w:before="240" w:after="240"/>
        <w:rPr>
          <w:lang w:val="el" w:eastAsia="el"/>
        </w:rPr>
      </w:pPr>
      <w:r>
        <w:rPr>
          <w:lang w:val="el" w:eastAsia="el"/>
        </w:rPr>
        <w:t>16. Την υπό στοιχεία ΔΙΔΔΔΗ/Φ.ΕΜΔΔ/19012/ 06.11.2024 κοινή απόφαση των Γενικών Γραμματέων Δημόσιας Διοίκησης του Υπουργείου Εσωτερικών, και του Εθνικού Τυπογραφείου «Ρύθμιση ειδικότερων ζητημάτων εφαρμογής των διατάξεων της παρ. 2 του άρθρου 9 του ν. 3469/2006 (Α’ 131)» (Β’ 6148).</w:t>
      </w:r>
    </w:p>
    <w:p>
      <w:pPr>
        <w:pStyle w:val="PreambelText"/>
        <w:spacing w:before="240" w:after="240"/>
        <w:rPr>
          <w:lang w:val="el" w:eastAsia="el"/>
        </w:rPr>
      </w:pPr>
      <w:r>
        <w:rPr>
          <w:lang w:val="el" w:eastAsia="el"/>
        </w:rPr>
        <w:t>17. Την ανάγκη τροποποίησης των διαδικασιών εφαρμογής των άρθρων 7 και 8 του ν. 4797/2021.</w:t>
      </w:r>
    </w:p>
    <w:p>
      <w:pPr>
        <w:pStyle w:val="PreambelText"/>
        <w:spacing w:before="240" w:after="240"/>
        <w:rPr>
          <w:lang w:val="el" w:eastAsia="el"/>
        </w:rPr>
      </w:pPr>
      <w:r>
        <w:rPr>
          <w:lang w:val="el" w:eastAsia="el"/>
        </w:rPr>
        <w:t>18. Το από 15.05.2025 ηλεκτρονικό μήνυμα της Διεύθυνσης Εποπτευόμενων Φορέων της Γενικής Διεύθυνσης Οικονομικών Υπηρεσιών του Υπουργείου Εθνικής Οικονομίας και Οικονομικών.</w:t>
      </w:r>
    </w:p>
    <w:p>
      <w:pPr>
        <w:pStyle w:val="PreambelText"/>
        <w:spacing w:before="240" w:after="240"/>
        <w:rPr>
          <w:lang w:val="el" w:eastAsia="el"/>
        </w:rPr>
      </w:pPr>
      <w:r>
        <w:rPr>
          <w:lang w:val="el" w:eastAsia="el"/>
        </w:rPr>
        <w:t>19. Την υπ’ αρ. 83535/15.05.2025 εισήγηση της Γενικής Διεύθυνσης Οικονομικών Υπηρεσιών του Υπουργείου Εθνικής Οικονομίας και Οικονομικών.</w:t>
      </w:r>
    </w:p>
    <w:p>
      <w:pPr>
        <w:pStyle w:val="PreambelText"/>
        <w:spacing w:before="240" w:after="240"/>
        <w:rPr>
          <w:lang w:val="el" w:eastAsia="el"/>
        </w:rPr>
      </w:pPr>
      <w:r>
        <w:rPr>
          <w:lang w:val="el" w:eastAsia="el"/>
        </w:rPr>
        <w:t>20. Το γεγονός ότι με τις διατάξεις της παρούσας τροποποιούνται οι διοικητικές διαδικασίες α) με επίσημο τίτλο «Χορήγηση προκαταβολής έναντι επιχορήγησης σε πληγείσες επιχειρήσεις, φορείς και αγροτικές εκμεταλλεύσεις» και Μοναδικό Αριθμό Καταχώρισης (ΜΑΚ) στο ΕΜΔΔ «Μίτος» 948166, β) με επίσημο τίτλο «Έκδοση απόφασης για επιχορήγηση επιχειρήσεων, φορέων και αγροτικών εκμεταλλεύσεων που πλήττονται από θεομηνίες (από 1.6.2020 και μετά)» και Μοναδικό Αριθμό Καταχώρισης (ΜΑΚ) στο ΕΜΔΔ «Μίτος» 321669, γ) με επίσημο τίτλο «Γενικό καθεστώς ενίσχυσης με τη μορφή επιχορήγησης ή/και προκαταβολής για την αντιμετώπιση ζημιών από θεομηνία» και Μοναδικό Αριθμό Καταχώρισης (ΜΑΚ) στο ΕΜΔΔ 276957.</w:t>
      </w:r>
    </w:p>
    <w:p>
      <w:pPr>
        <w:pStyle w:val="PreambelText"/>
        <w:spacing w:before="240" w:after="240"/>
        <w:rPr>
          <w:lang w:val="el" w:eastAsia="el"/>
        </w:rPr>
      </w:pPr>
      <w:r>
        <w:rPr>
          <w:lang w:val="el" w:eastAsia="el"/>
        </w:rPr>
        <w:t>21. Το γεγονός ότι από τις διατάξεις της παρούσας δεν προκαλείται δαπάνη,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spacing w:before="240" w:after="240"/>
        <w:rPr>
          <w:lang w:val="el" w:eastAsia="el"/>
        </w:rPr>
      </w:pPr>
      <w:r>
        <w:rPr>
          <w:lang w:val="el" w:eastAsia="el"/>
        </w:rPr>
        <w:t>Τροποποιούμε την υπό στοιχεία 74617ΕΞ2021/ 23.06.2021 (Β’ 2670) απόφαση ως εξής:</w:t>
      </w:r>
    </w:p>
    <w:p>
      <w:pPr>
        <w:pStyle w:val="MainText"/>
        <w:spacing w:before="120" w:after="0"/>
        <w:rPr>
          <w:lang w:val="el" w:eastAsia="el"/>
        </w:rPr>
      </w:pPr>
      <w:r>
        <w:rPr>
          <w:b/>
          <w:bCs/>
          <w:lang w:val="el" w:eastAsia="el"/>
        </w:rPr>
        <w:t>1.</w:t>
      </w:r>
      <w:r>
        <w:rPr>
          <w:lang w:val="el" w:eastAsia="el"/>
        </w:rPr>
        <w:t xml:space="preserve"> Η παρ. 5 του άρθρου 4 αντικαθίσταται ως εξής:</w:t>
      </w:r>
    </w:p>
    <w:p>
      <w:pPr>
        <w:spacing w:before="240" w:after="240"/>
        <w:rPr>
          <w:lang w:val="el" w:eastAsia="el"/>
        </w:rPr>
      </w:pPr>
      <w:r>
        <w:rPr>
          <w:lang w:val="el" w:eastAsia="el"/>
        </w:rPr>
        <w:t>«5. Για την έκδοση της απόφασης επιχορήγησης διασταυρώνονται τα στοιχεία μητρώου της ΑΑΔΕ. Ειδικά για τις αγροτικές εκμεταλλεύσεις, για τον σκοπό του προσδιορισμού του ποσοστού επιχορήγησης, διασταυρώνεται από το Υπουργείο Αγροτικής Ανάπτυξης και Τροφίμων ο χαρακτηρισμός από το ΜΑΑΕ σύμφωνα με τα φορολογικά στοιχεία του έτους της θεομηνίας. Για θεομηνίες που εκδηλώθηκαν μετά την ημερομηνία έναρξης ισχύος του π.δ. 77/2023 (Α’ 130), για τον προσδιορισμό των κατ’ επάγγελμα αγροτών λαμβάνεται ο χαρακτηρισμός του ΜΑΑΕ με βάση τα φορολογικά στοιχεία του έτους θεομηνίας και στην περίπτωση που ο δικαιούχος χαρακτηρίζεται από το ΜΑΑΕ ως κάτοχος αγροτικής εκμετάλλευσης για το έτος αυτό, αλλά ως κατ’ επάγγελμα αγρότης για το προηγούμενο έτος, λαμβάνεται ο χαρακτηρισμός για το προηγούμενο έτος. Μετά την επεξεργασία και τον έλεγχο των δικαιολογητικών της παρ. 4 εκδίδεται η υπουργική απόφαση επιχορήγησης της παρ. 5 του άρθρου 7 του ν. 4797/2021.».</w:t>
      </w:r>
    </w:p>
    <w:p>
      <w:pPr>
        <w:pStyle w:val="MainText"/>
        <w:spacing w:before="120" w:after="0"/>
        <w:rPr>
          <w:lang w:val="el" w:eastAsia="el"/>
        </w:rPr>
      </w:pPr>
      <w:r>
        <w:rPr>
          <w:b/>
          <w:bCs/>
          <w:lang w:val="el" w:eastAsia="el"/>
        </w:rPr>
        <w:t>2.</w:t>
      </w:r>
      <w:r>
        <w:rPr>
          <w:lang w:val="el" w:eastAsia="el"/>
        </w:rPr>
        <w:t xml:space="preserve"> Tο πρώτο εδάφιο της παρ. 2 του άρθρου 5 αντικαθίσταται ως εξής:</w:t>
      </w:r>
    </w:p>
    <w:p>
      <w:pPr>
        <w:spacing w:before="240" w:after="240"/>
        <w:rPr>
          <w:lang w:val="el" w:eastAsia="el"/>
        </w:rPr>
      </w:pPr>
      <w:r>
        <w:rPr>
          <w:lang w:val="el" w:eastAsia="el"/>
        </w:rPr>
        <w:t>«Ειδικά στις περιπτώσεις επιχορήγησης αγροτικών εκμεταλλεύσεων των άρθρων 11 και 12 του ν. 4797/2021, αντίστοιχα, απαιτείται επιπλέον των δικαιολογητικών των περ. α έως και ζ, καθώς και θ της παρ. 1, η προσκόμιση α) αποδεικτικού υποβολής ενιαίας αίτησης ενίσχυσης στο Ολοκληρωμένο Σύστημα Διαχείρισης Ελέγχου (ΟΣΔΕ) έτους θεομηνίας και έτους επιχορήγησης εφόσον έχει παρέλθει η προθεσμία υποβολής της, άλλως για το προηγούμενο από το έτος επιχορήγησης, β) αποδεικτικού εκπλήρωσης της υποχρέωσης καταβολής της ασφαλιστικής εισφοράς στον Οργανισμό Ελληνικών Γεωργικών Ασφαλίσεων (ΕΛΓΑ) για το έτος της θεομηνίας και γ) βεβαίωσης Μητρώου Αγροτών και Αγροτικών Εκμεταλλεύσεων με βάση τα φορολογικά στοιχεία του έτους της θεομηνίας και ειδικά για θεομηνίες που εκδηλώθηκαν μετά την ημερομηνία έναρξης ισχύος του π.δ. 77/2023 (Α’ 130), με βάση τα φορολογικά στοιχεία του έτους θεομηνίας ή -στην περίπτωση που ο δικαιούχος χαρακτηρίζεται από το ΜΑΑΕ ως κάτοχος αγροτικής εκμετάλλευσηςκαι του προηγούμενου έτους.».</w:t>
      </w:r>
    </w:p>
    <w:p>
      <w:pPr>
        <w:pStyle w:val="MainText"/>
        <w:spacing w:before="120" w:after="0"/>
        <w:rPr>
          <w:lang w:val="el" w:eastAsia="el"/>
        </w:rPr>
      </w:pPr>
      <w:r>
        <w:rPr>
          <w:b/>
          <w:bCs/>
          <w:lang w:val="el" w:eastAsia="el"/>
        </w:rPr>
        <w:t>3.</w:t>
      </w:r>
      <w:r>
        <w:rPr>
          <w:lang w:val="el" w:eastAsia="el"/>
        </w:rPr>
        <w:t xml:space="preserve"> Η παρ. 9 του άρθρου 5 αντικαθίσταται ως εξής:</w:t>
      </w:r>
    </w:p>
    <w:p>
      <w:pPr>
        <w:spacing w:before="240" w:after="240"/>
        <w:rPr>
          <w:lang w:val="el" w:eastAsia="el"/>
        </w:rPr>
      </w:pPr>
      <w:r>
        <w:rPr>
          <w:lang w:val="el" w:eastAsia="el"/>
        </w:rPr>
        <w:t>«9. Για θεομηνίες που εκδηλώθηκαν μετά την έναρξη ισχύος του π.δ. 77/2023 (Α’ 130), η επιχορήγηση καταβάλλεται στον αριθμό λογαριασμού ΙΒΑΝ της δικαιούχου επιχείρησης, του φορέα, της αγροτικής εκμετάλλευσηςαγρότη-παραγωγού, ή του κατόχου αγροτικής εκμετάλλευσης, όπως αυτός έχει δηλωθεί στην Ανεξάρτητη Αρχή Δημοσίων Εσόδων (ΑΑΔΕ), στο myaade/Μητρώο και Επικοινωνία. Για τον σκοπό αυτό, η ΑΑΔΕ διαθέτει στη Γενική Διεύθυνση Κρατικής Αρωγής και Συντονισμού τον αριθμό τραπεζικού λογαριασμού ΙΒΑΝ μέσω της διαδικτυακής υπηρεσίας «Άντληση ΙΒΑΝ για συγκεκριμένο ΑΦΜ (Ειδικού Σκοπού, για τη ΔΡΑΣΗ της ΑΡΩΓΗΣ)» (getIbanInfo). Επιπλέον, από την ΑΑΔΕ γίνεται άντληση των Βασικών Πληροφοριών Φορολογικού Μητρώου (ΒΑΣΙΚΑ ΣΤΟΙΧΕΙΑ ΦΠ-ΜΗ ΦΠ) με την υπηρεσία «Στοιχεία Φορολογικού Μητρώου - Αναζήτηση στοιχείων με βάση τον ΑΦΜ του Φυσικού ή Μη Φυσικού Προσώπου» (basicInfo της retrieveInfoByAFM), μέσω διαλειτουργικότητας. O αριθμός τραπεζικού λογαριασμού ΙΒΑΝ διασταυρώνεται με τον Αριθμό Φορολογικού Μητρώου μέσω της διαδικτυακής υπηρεσίας «Διασταύρωση IBAN - ΑΦΜ από Τράπεζες» (confirmAccount).</w:t>
      </w:r>
    </w:p>
    <w:p>
      <w:pPr>
        <w:spacing w:before="240" w:after="240"/>
        <w:rPr>
          <w:lang w:val="el" w:eastAsia="el"/>
        </w:rPr>
      </w:pPr>
      <w:r>
        <w:rPr>
          <w:lang w:val="el" w:eastAsia="el"/>
        </w:rPr>
        <w:t>Στις περιπτώσεις αυτές δεν εφαρμόζεται η περ. ζ της παρ. 1 του παρόντος άρθρου.</w:t>
      </w:r>
    </w:p>
    <w:p>
      <w:pPr>
        <w:spacing w:before="240" w:after="240"/>
        <w:rPr>
          <w:lang w:val="el" w:eastAsia="el"/>
        </w:rPr>
      </w:pPr>
      <w:r>
        <w:rPr>
          <w:lang w:val="el" w:eastAsia="el"/>
        </w:rPr>
        <w:t>Σε περίπτωση που δεν έχει δηλωθεί ο αριθμός λογαριασμού ΙΒΑΝ στην ΑΑΔΕ, ζητείται από τον δικαιούχο μέσω της οικείας Περιφέρειας και διασταυρώνεται με τον Αριθμό Φορολογικού Μητρώου μέσω της διαδικτυακής υπηρεσίας «Διασταύρωση IBAN - ΑΦΜ από Τράπεζες» (confirmAccount).</w:t>
      </w:r>
    </w:p>
    <w:p>
      <w:pPr>
        <w:spacing w:before="240" w:after="240"/>
        <w:rPr>
          <w:lang w:val="el" w:eastAsia="el"/>
        </w:rPr>
      </w:pPr>
      <w:r>
        <w:rPr>
          <w:lang w:val="el" w:eastAsia="el"/>
        </w:rPr>
        <w:t>Τα προβλεπόμενα στην παρούσα παράγραφο εφαρμόζονται και για θεομηνίες που εκδηλώθηκαν από 01.06.2020, στην περίπτωση μη προσκόμισης του δικαιολογητικού της περ. ζ της παρ. 1 του παρόντος άρθρου σε ευανάγνωστη μορφή.».</w:t>
      </w:r>
    </w:p>
    <w:p>
      <w:pPr>
        <w:pStyle w:val="MainText"/>
        <w:spacing w:before="120" w:after="0"/>
        <w:rPr>
          <w:lang w:val="el" w:eastAsia="el"/>
        </w:rPr>
      </w:pPr>
      <w:r>
        <w:rPr>
          <w:b/>
          <w:bCs/>
          <w:lang w:val="el" w:eastAsia="el"/>
        </w:rPr>
        <w:t>4.</w:t>
      </w:r>
      <w:r>
        <w:rPr>
          <w:lang w:val="el" w:eastAsia="el"/>
        </w:rPr>
        <w:t xml:space="preserve"> Η παρ. 6 του άρθρου 6 της αντικαθίσταται ως εξής: «6. Για θεομηνίες που εκδηλώθηκαν μετά την έναρξη ισχύος του π.δ. 77/2023 (Α’ 130), η προκαταβολή καταβάλλεται στον αριθμό λογαριασμού ΙΒΑΝ της δικαιούχου επιχείρησης, του φορέα, της αγροτικής εκμετάλλευσης-αγρότη-παραγωγού, ή του κατόχου αγροτικής εκμετάλλευσης, όπως αυτός έχει δηλωθεί στην Ανεξάρτητη Αρχή Δημοσίων Εσόδων (ΑΑΔΕ), στο myaade/Μητρώο και Επικοινωνία. Για τον σκοπό αυτό, η ΑΑΔΕ διαθέτει στη Γενική Διεύθυνση Κρατικής Αρωγής και Συντονισμού τον αριθμό τραπεζικού λογαριασμού ΙΒΑΝ μέσω της διαδικτυακής υπηρεσίας «Άντληση ΙΒΑΝ για συγκεκριμένο ΑΦΜ (Ειδικού Σκοπού, για τη ΔΡΑΣΗ της ΑΡΩΓΗΣ)» (getIbanInfo). Επιπλέον, από την ΑΑΔΕ γίνεται άντληση των Βασικών Πληροφοριών Φορολογικού Μητρώου (ΒΑΣΙΚΑ ΣΤΟΙΧΕΙΑ ΦΠ-ΜΗ ΦΠ) με την υπηρεσία «Στοιχεία Φορολογικού Μητρώου - Αναζήτηση στοιχείων με βάση τον ΑΦΜ του Φυσικού ή Μη Φυσικού Προσώπου» (basicInfo της retrieveInfoByAFM), μέσω διαλειτουργικότητας. O αριθμός τραπεζικού λογαριασμού ΙΒΑΝ διασταυρώνεται με τον Αριθμό Φορολογικού Μητρώου μέσω της διαδικτυακής υπηρεσίας «Διασταύρωση IBAN - ΑΦΜ από Τράπεζες» (confirmAccount).</w:t>
      </w:r>
    </w:p>
    <w:p>
      <w:pPr>
        <w:spacing w:before="240" w:after="240"/>
        <w:rPr>
          <w:lang w:val="el" w:eastAsia="el"/>
        </w:rPr>
      </w:pPr>
      <w:r>
        <w:rPr>
          <w:lang w:val="el" w:eastAsia="el"/>
        </w:rPr>
        <w:t>Στις περιπτώσεις αυτές δεν εφαρμόζεται το τελευταίο εδάφιο της παρ. 3.</w:t>
      </w:r>
    </w:p>
    <w:p>
      <w:pPr>
        <w:spacing w:before="240" w:after="240"/>
        <w:rPr>
          <w:lang w:val="el" w:eastAsia="el"/>
        </w:rPr>
      </w:pPr>
      <w:r>
        <w:rPr>
          <w:lang w:val="el" w:eastAsia="el"/>
        </w:rPr>
        <w:t>Σε περίπτωση που δεν έχει δηλωθεί ο αριθμός λογαριασμού ΙΒΑΝ στην ΑΑΔΕ, ζητείται από τον δικαιούχο μέσω της οικείας Περιφέρειας και διασταυρώνεται με τον Αριθμό Φορολογικού Μητρώου μέσω της διαδικτυακής υπηρεσίας «Διασταύρωση IBAN - ΑΦΜ από Τράπεζες» (confirmAccount).».</w:t>
      </w:r>
    </w:p>
    <w:p>
      <w:pPr>
        <w:pStyle w:val="MainText"/>
        <w:spacing w:before="120" w:after="0"/>
        <w:rPr>
          <w:lang w:val="el" w:eastAsia="el"/>
        </w:rPr>
      </w:pPr>
      <w:r>
        <w:rPr>
          <w:b/>
          <w:bCs/>
          <w:lang w:val="el" w:eastAsia="el"/>
        </w:rPr>
        <w:t>5.</w:t>
      </w:r>
      <w:r>
        <w:rPr>
          <w:lang w:val="el" w:eastAsia="el"/>
        </w:rPr>
        <w:t xml:space="preserve"> Στο άρθρο 6 προστίθεται παρ. 7, ως εξής:</w:t>
      </w:r>
    </w:p>
    <w:p>
      <w:pPr>
        <w:spacing w:before="240" w:after="240"/>
        <w:rPr>
          <w:lang w:val="el" w:eastAsia="el"/>
        </w:rPr>
      </w:pPr>
      <w:r>
        <w:rPr>
          <w:lang w:val="el" w:eastAsia="el"/>
        </w:rPr>
        <w:t>«7. Για την έκδοση της απόφασης προκαταβολής έναντι επιχορήγησης διασταυρώνονται τα στοιχεία μητρώου της ΑΑΔΕ. Ειδικά για τις αγροτικές εκμεταλλεύσεις, για τον σκοπό του προσδιορισμού του ποσοστού επιχορήγησης, διασταυρώνεται από το Υπουργείο Αγροτικής Ανάπτυξης και Τροφίμων ο χαρακτηρισμός από το ΜΑΑΕ σύμφωνα με τα φορολογικά στοιχεία του έτους της θεομηνίας. Για θεομηνίες που εκδηλώθηκαν μετά την ημερομηνία έναρξης ισχύος του π.δ. 77/2023 (Α’ 130), για τον προσδιορισμό των κατ’ επάγγελμα αγροτών λαμβάνεται ο χαρακτηρισμός του ΜΑΑΕ με βάση τα φορολογικά στοιχεία του έτους θεομηνίας και στην περίπτωση που ο δικαιούχος χαρακτηρίζεται από το ΜΑΑΕ ως κάτοχος αγροτικής εκμετάλλευσης για το έτος αυτό, αλλά ως κατ’ επάγγελμα αγρότης για το προηγούμενο έτος, λαμβάνεται ο χαρακτηρισμός για το προηγούμενο έτος.».</w:t>
      </w:r>
    </w:p>
    <w:p>
      <w:pPr>
        <w:pStyle w:val="MainText"/>
        <w:spacing w:before="120" w:after="0"/>
        <w:rPr>
          <w:lang w:val="el" w:eastAsia="el"/>
        </w:rPr>
      </w:pPr>
      <w:r>
        <w:rPr>
          <w:b/>
          <w:bCs/>
          <w:lang w:val="el" w:eastAsia="el"/>
        </w:rPr>
        <w:t>6.</w:t>
      </w:r>
      <w:r>
        <w:rPr>
          <w:lang w:val="el" w:eastAsia="el"/>
        </w:rPr>
        <w:t xml:space="preserve"> Το Παράρτημα «ΥΠΟΔΕΙΓΜΑ 1 - ΣΥΓΚΕΝΤΡΩΤΙΚΗ ΚΑΤΑΣΤΑΣΗ» αντικαθίσταται με το Παράρτημα του παρόντος.</w:t>
      </w:r>
    </w:p>
    <w:p>
      <w:pPr>
        <w:pStyle w:val="MainText"/>
        <w:spacing w:before="120" w:after="0"/>
        <w:rPr>
          <w:lang w:val="el" w:eastAsia="el"/>
        </w:rPr>
      </w:pPr>
      <w:r>
        <w:rPr>
          <w:b/>
          <w:bCs/>
          <w:lang w:val="el" w:eastAsia="el"/>
        </w:rPr>
        <w:t>7.</w:t>
      </w:r>
      <w:r>
        <w:rPr>
          <w:lang w:val="el" w:eastAsia="el"/>
        </w:rPr>
        <w:t xml:space="preserve"> Το Παράρτημα «ΥΠΟΔΕΙΓΜΑ 2 - ΚΑΤΑΣΤΑΣΗ ΙΒΑΝ» καταργείται.</w:t>
      </w:r>
    </w:p>
    <w:p>
      <w:pPr>
        <w:spacing w:before="240" w:after="240"/>
        <w:rPr>
          <w:lang w:val="el" w:eastAsia="el"/>
        </w:rPr>
      </w:pPr>
      <w:r>
        <w:rPr>
          <w:lang w:val="el" w:eastAsia="el"/>
        </w:rPr>
        <w:t>Κατά τα λοιπά ισχύει η υπό στοιχεία 74617ΕΞ2021/ 23.06.2021 (Β’ 2670) απόφαση.</w:t>
      </w:r>
    </w:p>
    <w:p>
      <w:pPr>
        <w:spacing w:before="240" w:after="240"/>
        <w:rPr>
          <w:lang w:val="el" w:eastAsia="el"/>
        </w:rPr>
      </w:pPr>
      <w:r>
        <w:rPr>
          <w:b/>
          <w:bCs/>
          <w:lang w:val="el" w:eastAsia="el"/>
        </w:rPr>
        <w:t>ΠΑΡΑΡΤΗΜΑ</w:t>
      </w:r>
    </w:p>
    <w:p>
      <w:pPr>
        <w:spacing w:before="240" w:after="240"/>
        <w:rPr>
          <w:lang w:val="el" w:eastAsia="el"/>
        </w:rPr>
      </w:pPr>
      <w:r>
        <w:rPr>
          <w:b/>
          <w:bCs/>
          <w:lang w:val="el" w:eastAsia="el"/>
        </w:rPr>
        <w:t>ΥΠΟΔΕΙΓΜΑ ΣΥΓΚΕΝΤΡΩΤΙΚΗΣ ΚΑΤΑΣΤΑΣΗΣ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09"/>
        <w:gridCol w:w="287"/>
        <w:gridCol w:w="287"/>
        <w:gridCol w:w="287"/>
        <w:gridCol w:w="287"/>
        <w:gridCol w:w="287"/>
        <w:gridCol w:w="287"/>
        <w:gridCol w:w="287"/>
        <w:gridCol w:w="287"/>
        <w:gridCol w:w="287"/>
        <w:gridCol w:w="287"/>
        <w:gridCol w:w="287"/>
        <w:gridCol w:w="287"/>
        <w:gridCol w:w="287"/>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Ο Μι οSδ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Η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Ιί &amp;&amp;ΐ</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ΙS£ aδΞ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Καποδιστρίου 34,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Αποστολή εγγράφων προς δημοσίευση στο ΦΕΚ στην ηλεκτρονική διεύθυνση </w:t>
      </w:r>
      <w:hyperlink r:id="rId4" w:history="1">
        <w:r>
          <w:rPr>
            <w:rStyle w:val="Hyperlink"/>
            <w:b/>
            <w:bCs/>
            <w:color w:val="0000EE"/>
            <w:u w:color="0000EE"/>
            <w:lang w:val="el" w:eastAsia="el"/>
          </w:rPr>
          <w:t>https://eservices.et.gr</w:t>
        </w:r>
      </w:hyperlink>
    </w:p>
    <w:p>
      <w:pPr>
        <w:spacing w:before="240" w:after="240"/>
        <w:rPr>
          <w:lang w:val="el" w:eastAsia="el"/>
        </w:rPr>
      </w:pPr>
      <w:r>
        <w:rPr>
          <w:b/>
          <w:bCs/>
          <w:lang w:val="el" w:eastAsia="el"/>
        </w:rPr>
        <w:t>UI ΓΜ ο ΓΜ □ ,Ο "5 Σ Ο^</w:t>
      </w:r>
    </w:p>
    <w:p>
      <w:pPr>
        <w:spacing w:before="240" w:after="240"/>
        <w:rPr>
          <w:lang w:val="el" w:eastAsia="el"/>
        </w:rPr>
      </w:pPr>
      <w:r>
        <w:rPr>
          <w:lang w:val="el" w:eastAsia="el"/>
        </w:rPr>
        <w:t>ο ο Ο α ο</w:t>
      </w:r>
    </w:p>
    <w:p>
      <w:pPr>
        <w:spacing w:before="240" w:after="240"/>
        <w:rPr>
          <w:lang w:val="el" w:eastAsia="el"/>
        </w:rPr>
      </w:pPr>
      <w:r>
        <w:rPr>
          <w:lang w:val="el" w:eastAsia="el"/>
        </w:rPr>
        <w:t xml:space="preserve">Ο Υφυπουργός </w:t>
      </w:r>
      <w:r>
        <w:rPr>
          <w:b/>
          <w:bCs/>
          <w:lang w:val="el" w:eastAsia="el"/>
        </w:rPr>
        <w:t>ΚΩΝΣΤΑΝΤΙΝΟΣ ΚΑΤΣΑΦΑΔΟΣ</w:t>
      </w:r>
    </w:p>
    <w:p>
      <w:pPr>
        <w:spacing w:before="240" w:after="240"/>
        <w:rPr>
          <w:lang w:val="el" w:eastAsia="el"/>
        </w:rPr>
      </w:pPr>
      <w:r>
        <w:rPr>
          <w:lang w:val="el" w:eastAsia="el"/>
        </w:rPr>
        <w:t>iT ΕΘΝΙΚΟ ^Ι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eservices.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