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Url </w:t>
      </w:r>
      <w:r>
        <w:rPr>
          <w:lang w:val="el" w:eastAsia="el"/>
        </w:rPr>
        <w:t>:</w:t>
      </w: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Τροποποίηση της υπό στοιχεία Α. 1162/2023 κοινής απόφασης του Υφυπουργού Εθνικής Οικονομίας και Οικονομικών και του Διοικητή της Ανεξάρτητης Αρχής Δημοσίων Εσόδων «Αποδεικτικό Ενημερότητας άρθρου 12 Κώδικα Φορολογικής Διαδικασίας (ΚΦΔ, ν. 4987/2022, Α' 206)» (Β΄6129).</w:t>
      </w:r>
    </w:p>
    <w:p>
      <w:pPr>
        <w:pStyle w:val="enacting"/>
        <w:spacing w:before="120" w:after="0"/>
        <w:rPr>
          <w:lang w:val="el" w:eastAsia="el"/>
        </w:rPr>
      </w:pPr>
      <w:r>
        <w:rPr>
          <w:b/>
          <w:bCs/>
          <w:lang w:val="el" w:eastAsia="el"/>
        </w:rPr>
        <w:t>ΑΠΟΦΑΣΗΟ ΔΙΟΙΚΗΤΗΣ ΤΗΣ ΑΑΔΕ</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Το άρθρο 12 και την παρ. 9 του άρθρου 83 του ν. 5104/2024 «Κώδικας Φορολογικής Διαδικασίας και άλλες διατάξεις» (Α’ 58)</w:t>
      </w:r>
    </w:p>
    <w:p>
      <w:pPr>
        <w:pStyle w:val="PreambelText"/>
        <w:spacing w:before="240" w:after="240"/>
        <w:rPr>
          <w:lang w:val="el" w:eastAsia="el"/>
        </w:rPr>
      </w:pPr>
      <w:r>
        <w:rPr>
          <w:lang w:val="el" w:eastAsia="el"/>
        </w:rPr>
        <w:t xml:space="preserve">2. </w:t>
      </w:r>
      <w:r>
        <w:rPr>
          <w:b/>
          <w:bCs/>
          <w:lang w:val="el" w:eastAsia="el"/>
        </w:rPr>
        <w:t>Την υπό στοιχεία Α. 1162/2023 «Αποδεικτικό Ενημερότητας άρθρου 12 Κώδικα Φορολογικής Διαδικασίας (ΚΦΔ, ν. 4987/2022, Α' 206)» (Β΄6129) απόφασης.</w:t>
      </w:r>
    </w:p>
    <w:p>
      <w:pPr>
        <w:pStyle w:val="PreambelText"/>
        <w:spacing w:before="240" w:after="240"/>
        <w:rPr>
          <w:lang w:val="el" w:eastAsia="el"/>
        </w:rPr>
      </w:pPr>
      <w:r>
        <w:rPr>
          <w:lang w:val="el" w:eastAsia="el"/>
        </w:rPr>
        <w:t xml:space="preserve">3.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4.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7, την παράγραφο 1 του άρθρου 14 και το άρθρο 41 αυτού.</w:t>
      </w:r>
    </w:p>
    <w:p>
      <w:pPr>
        <w:pStyle w:val="PreambelText"/>
        <w:spacing w:before="240" w:after="240"/>
        <w:rPr>
          <w:lang w:val="el" w:eastAsia="el"/>
        </w:rPr>
      </w:pPr>
      <w:r>
        <w:rPr>
          <w:lang w:val="el" w:eastAsia="el"/>
        </w:rPr>
        <w:t xml:space="preserve">5.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6. </w:t>
      </w:r>
      <w:r>
        <w:rPr>
          <w:b/>
          <w:bCs/>
          <w:lang w:val="el" w:eastAsia="el"/>
        </w:rPr>
        <w:t>Την ανάγκη τροποποίησης της υπό στοιχεία Α. 1162/2023 απόφασης και ειδικότερα του ποσοστού παρακράτησης όταν το αποδεικτικό ενημερότητας εκδίδεται για μεταβίβαση ακινήτου ή σύσταση εμπραγμάτου δικαιώματος επ’ αυτού από επαχθή αιτία στην περίπτωση ύπαρξης οφειλών σε αναστολή είσπραξης κατόπιν δικαστικής απόφασης ή απόφασης της Διεύθυνσης Επίλυσης Διαφορών.</w:t>
      </w:r>
    </w:p>
    <w:p>
      <w:pPr>
        <w:pStyle w:val="PreambelText"/>
        <w:spacing w:before="240" w:after="240"/>
        <w:rPr>
          <w:lang w:val="el" w:eastAsia="el"/>
        </w:rPr>
      </w:pPr>
      <w:r>
        <w:rPr>
          <w:lang w:val="el" w:eastAsia="el"/>
        </w:rPr>
        <w:t xml:space="preserve">7. </w:t>
      </w:r>
      <w:r>
        <w:rPr>
          <w:b/>
          <w:bCs/>
          <w:lang w:val="el" w:eastAsia="el"/>
        </w:rPr>
        <w:t>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 xml:space="preserve">8. </w:t>
      </w:r>
      <w:r>
        <w:rPr>
          <w:b/>
          <w:bCs/>
          <w:lang w:val="el" w:eastAsia="el"/>
        </w:rPr>
        <w:t>Το γεγονός ότι με τις διατάξεις της παρούσας τροποποιείται η διοικητική διαδικασία με επίσημο τίτλο «Αποδεικτικό Φορολογικής Ενημερότητας» και Μοναδικό Αριθμό Καταχώρισης (Μ.Α.Κ.) στο ΕΜΔΔ – «Μίτος» 439993.</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Η υπό στοιχεία Α. 1162/2023 (Β’ 6129) απόφαση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τέλος του πρώτου εδαφίου της υποπερ. ii. της περ. β. της παρ. 2 του άρθρου 8 «Ποσοστό παρακράτησης επί αποδεικτικού ενημερότητας» της απόφασης Α. 1162/2023 (Β’ 6129) μετά τις λέξεις «που τελούν σε καθεστώς αναστολής είσπραξης.» προστίθενται τρία νέα εδάφια ως εξής:</w:t>
      </w:r>
    </w:p>
    <w:p>
      <w:pPr>
        <w:spacing w:before="240" w:after="240"/>
        <w:rPr>
          <w:lang w:val="el" w:eastAsia="el"/>
        </w:rPr>
      </w:pPr>
      <w:r>
        <w:rPr>
          <w:b/>
          <w:bCs/>
          <w:lang w:val="el" w:eastAsia="el"/>
        </w:rPr>
        <w:t>«Στην περίπτωση που οι οφειλές του προηγούμενου εδαφίου τελούν σε αναστολή είσπραξης δυνάμει δικαστικής απόφασης ή απόφασης της Διεύθυνσης Επίλυσης Διαφορών, το ανωτέρω ποσοστό περιορίζεται μέχρι πέντε τοις εκατό (5%) επί του τιμήματος, εφόσον οι εναπομείνασες οφειλές, που αντιστοιχούν στη διαφορά του ποσού που παρακρατείται και του ποσού που αντιστοιχεί στο πενήντα τοις εκατό (50%) του τιμήματος του προηγούμενου εδαφίου, διασφαλίζονται από εγγυήσεις ή εμπράγματες ασφάλειες (παραχώρηση ακινήτου για εγγραφή πρώτης υποθήκης). Για τον υπολογισμό της εμπράγματης ασφάλειας λαμβάνεται υπόψη το ογδόντα τοις εκατό (80%) της αντικειμενικής αξίας του προσφερόμενου προς παροχή διασφάλισης ακινήτου. Αν υφίστανται οφειλές του πρώτου εδαφίου της υποπερ. ii. οι οποίες τελούν σε αναστολή είσπραξης από δικαστική απόφαση ή απόφαση της Διεύθυνσης Επίλυσης Διαφορών καθώς και σε αναστολή είσπραξης από άλλη αιτία, τα ποσοστά παρακράτησης επί του τιμήματος εφαρμόζονται για κάθε κατηγορία οφειλών σε αναστολή είσπραξης αναλογικά.».</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(με την παράκληση το Υπουργείο Δικαιοσύνης να ενημερώσει όλους τους φορείς αρμοδιότητάς του), Ι, ΙΒ, ΙΔ, ΙΕ, ΙΣΤ</w:t>
      </w:r>
    </w:p>
    <w:p>
      <w:pPr>
        <w:spacing w:before="240" w:after="240"/>
        <w:rPr>
          <w:lang w:val="el" w:eastAsia="el"/>
        </w:rPr>
      </w:pPr>
      <w:r>
        <w:rPr>
          <w:b/>
          <w:bCs/>
          <w:lang w:val="el" w:eastAsia="el"/>
        </w:rPr>
        <w:t>5) 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