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Α.1069</w:t>
      </w:r>
    </w:p>
    <w:p>
      <w:pPr>
        <w:pStyle w:val="PreambelText"/>
        <w:spacing w:before="240" w:after="240"/>
        <w:rPr>
          <w:lang w:val="el" w:eastAsia="el"/>
        </w:rPr>
      </w:pPr>
      <w:r>
        <w:rPr>
          <w:b/>
          <w:bCs/>
          <w:lang w:val="el" w:eastAsia="el"/>
        </w:rPr>
        <w:t>Τροποποίηση της υπό στοιχεία ΠΟΛ. 1137/12.9.2017 (Β’ 3293) απόφασης του Διοικητή της ΑΑΔΕ για τον καθορισμό των καταλόγων σχετικά με τις Δηλωτέες Δικαιοδοσίες, δυνάμει του τρίτου εδαφίου της παρ. 4 του άρθρου πέμπτου του ν. 4428/2016 (Α’ 190) και τις Συμμετέχουσες Δικαιοδοσίες, δυνάμει του ίδιου άρθρου και της περ. β της παρ. 5 του άρθρου 9 του ν. 4170/2013 (Α’ 163), έναντι της Ελλάδας.</w:t>
      </w:r>
    </w:p>
    <w:p>
      <w:pPr>
        <w:pStyle w:val="PreambelText"/>
        <w:spacing w:before="240" w:after="240"/>
        <w:rPr>
          <w:lang w:val="el" w:eastAsia="el"/>
        </w:rPr>
      </w:pPr>
      <w:r>
        <w:rPr>
          <w:lang w:val="el" w:eastAsia="el"/>
        </w:rPr>
        <w:t>Ο ΔΙΟΙΚΗΤΗΣ 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τρίτου εδαφίου της περ. β της παρ. 5 του άρθρου 9 του ν. 4170/2013 «Ενσωμάτωση της Οδηγίας 2011/16/ΕΕ, ρύθμιση θεμάτων της ΕΛ.Τ.Ε., αναμόρφωση Οργανισμού του Ν.Σ.Κ. και άλλες διατάξεις» (Α’ 163), β) του τρίτου εδαφίου της παρ. 4 του άρθρου πέμπτου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(Α’ 190),</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Παραρτήματος Ι, Τμήμα Vlll, Ενότητα Δ’ παρ. 5 περ. β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 4515/2018 (Α’ 18) και ν. 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w:t>
      </w:r>
    </w:p>
    <w:p>
      <w:pPr>
        <w:pStyle w:val="StructureList1"/>
        <w:spacing w:before="120" w:after="0"/>
        <w:rPr>
          <w:lang w:val="el" w:eastAsia="el"/>
        </w:rPr>
      </w:pPr>
      <w:r>
        <w:rPr>
          <w:lang w:val="el" w:eastAsia="el"/>
        </w:rPr>
        <w:t>ε)</w:t>
      </w:r>
      <w:r>
        <w:rPr>
          <w:lang w:val="en" w:eastAsia="en"/>
        </w:rPr>
        <w:tab/>
      </w:r>
      <w:r>
        <w:rPr>
          <w:lang w:val="el" w:eastAsia="el"/>
        </w:rPr>
        <w:t>του ν. 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lang w:val="el" w:eastAsia="el"/>
        </w:rPr>
        <w:t>στ)</w:t>
      </w:r>
      <w:r>
        <w:rPr>
          <w:lang w:val="en" w:eastAsia="en"/>
        </w:rPr>
        <w:tab/>
      </w:r>
      <w:r>
        <w:rPr>
          <w:lang w:val="el" w:eastAsia="el"/>
        </w:rPr>
        <w:t>του ν. 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lang w:val="el" w:eastAsia="el"/>
        </w:rPr>
        <w:t>ζ)</w:t>
      </w:r>
      <w:r>
        <w:rPr>
          <w:lang w:val="en" w:eastAsia="en"/>
        </w:rPr>
        <w:tab/>
      </w:r>
      <w:r>
        <w:rPr>
          <w:lang w:val="el" w:eastAsia="el"/>
        </w:rPr>
        <w:t>του ν. 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lang w:val="el" w:eastAsia="el"/>
        </w:rPr>
        <w:t>η)</w:t>
      </w:r>
      <w:r>
        <w:rPr>
          <w:lang w:val="en" w:eastAsia="en"/>
        </w:rPr>
        <w:tab/>
      </w:r>
      <w:r>
        <w:rPr>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lang w:val="el" w:eastAsia="el"/>
        </w:rPr>
        <w:t>θ)</w:t>
      </w:r>
      <w:r>
        <w:rPr>
          <w:lang w:val="en" w:eastAsia="en"/>
        </w:rPr>
        <w:tab/>
      </w:r>
      <w:r>
        <w:rPr>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 116),</w:t>
      </w:r>
    </w:p>
    <w:p>
      <w:pPr>
        <w:pStyle w:val="StructureList1"/>
        <w:spacing w:before="120" w:after="0"/>
        <w:rPr>
          <w:lang w:val="el" w:eastAsia="el"/>
        </w:rPr>
      </w:pPr>
      <w:r>
        <w:rPr>
          <w:lang w:val="el" w:eastAsia="el"/>
        </w:rPr>
        <w:t>ι)</w:t>
      </w:r>
      <w:r>
        <w:rPr>
          <w:lang w:val="en" w:eastAsia="en"/>
        </w:rPr>
        <w:tab/>
      </w:r>
      <w:r>
        <w:rPr>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ΠΟΛ. 1137/12.9.2017 (Β’ 3293) απόφαση του Διοικητή της ΑΑΔΕ «Καθορισμός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 β τρίτο εδάφιο του ν. 4170/2013 (Α’ 163), έναντι της Ελλάδας».</w:t>
      </w:r>
    </w:p>
    <w:p>
      <w:pPr>
        <w:pStyle w:val="PreambelText"/>
        <w:spacing w:before="240" w:after="240"/>
        <w:rPr>
          <w:lang w:val="el" w:eastAsia="el"/>
        </w:rPr>
      </w:pPr>
      <w:r>
        <w:rPr>
          <w:lang w:val="el" w:eastAsia="el"/>
        </w:rPr>
        <w:t>3. Την υπό στοιχεία ΠΟΛ. 1135/29.8.2017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 4428/2016» (Β’ 3053).</w:t>
      </w:r>
    </w:p>
    <w:p>
      <w:pPr>
        <w:pStyle w:val="PreambelText"/>
        <w:spacing w:before="240" w:after="240"/>
        <w:rPr>
          <w:lang w:val="el" w:eastAsia="el"/>
        </w:rPr>
      </w:pPr>
      <w:r>
        <w:rPr>
          <w:lang w:val="el" w:eastAsia="el"/>
        </w:rPr>
        <w:t>4. Τον από 23.4.2025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pStyle w:val="PreambelText"/>
        <w:spacing w:before="240" w:after="240"/>
        <w:rPr>
          <w:lang w:val="el" w:eastAsia="el"/>
        </w:rPr>
      </w:pPr>
      <w:r>
        <w:rPr>
          <w:lang w:val="el" w:eastAsia="el"/>
        </w:rPr>
        <w:t>5. Τον από 13.1.2025 κατάλογο του ΟΟΣΑ με τις δικαιοδοσίες που έχουν δεσμευθεί για την αυτόματη ανταλλαγή πληροφοριών βάσει του Κοινού Προτύπου Αναφοράς, (εφεξής ΚΠΑ) με αναφορά στη δέσμευσή τους ως προς το έτος πρώτης ανταλλαγής πληροφοριών και τον από 13.4.2025 κατάλογο του ΟΟΣΑ με τις δικαιοδοσίες που έχουν υπογράψει την Πολυμερή Συμφωνία Αρμόδιων Αρχών (εφεξής ΠΣΑΑ).</w:t>
      </w:r>
    </w:p>
    <w:p>
      <w:pPr>
        <w:pStyle w:val="PreambelText"/>
        <w:spacing w:before="240" w:after="240"/>
        <w:rPr>
          <w:lang w:val="el" w:eastAsia="el"/>
        </w:rPr>
      </w:pPr>
      <w:r>
        <w:rPr>
          <w:lang w:val="el" w:eastAsia="el"/>
        </w:rPr>
        <w:t>6. Τον τρέχοντα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23.4.2025.</w:t>
      </w:r>
    </w:p>
    <w:p>
      <w:pPr>
        <w:pStyle w:val="PreambelText"/>
        <w:spacing w:before="240" w:after="240"/>
        <w:rPr>
          <w:lang w:val="el" w:eastAsia="el"/>
        </w:rPr>
      </w:pPr>
      <w:r>
        <w:rPr>
          <w:lang w:val="el" w:eastAsia="el"/>
        </w:rPr>
        <w:t>7. Τις Γνωστοποιήσεις του Τμήματος 7 παρ. 1 περ. β’ της ΠΣΑΑ των δικαιοδοσιών, όπως έχουν υποβληθεί στη Γραμματεία Συντονιστικού Οργάνου της Σύμβασης και γνωστοποιηθεί στην Αρμόδια Αρχή της Ελληνικής Δημοκρατίας έως και 23.4.2025, σύμφωνα με τις οποίες οι εν λόγω δικαιοδοσίες δεν θα λαμβάνουν τις πληροφορίες του Τμήματος 2 παρ. 2 της ΠΣΑΑ.</w:t>
      </w:r>
    </w:p>
    <w:p>
      <w:pPr>
        <w:pStyle w:val="PreambelText"/>
        <w:spacing w:before="240" w:after="240"/>
        <w:rPr>
          <w:lang w:val="el" w:eastAsia="el"/>
        </w:rPr>
      </w:pPr>
      <w:r>
        <w:rPr>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 4153/2013 (Α’ 116), και τις αντίστοιχες Δηλώσεις άλλων Δικαιοδοσιών που δημοσιεύθηκαν στην ιστοσελίδα του Συμβουλίου της Ευρώπης έως και 23.4.2025.</w:t>
      </w:r>
    </w:p>
    <w:p>
      <w:pPr>
        <w:pStyle w:val="PreambelText"/>
        <w:spacing w:before="240" w:after="240"/>
        <w:rPr>
          <w:lang w:val="el" w:eastAsia="el"/>
        </w:rPr>
      </w:pPr>
      <w:r>
        <w:rPr>
          <w:lang w:val="el" w:eastAsia="el"/>
        </w:rPr>
        <w:t>9. Τα σχόλια του ΟΟΣΑ επί του ΚΠΑ όπως εγκρίθηκαν από το Συμβούλιο του ΟΟΣΑ στις 15 Ιουλίου 2014 και ισχύουν.</w:t>
      </w:r>
    </w:p>
    <w:p>
      <w:pPr>
        <w:pStyle w:val="PreambelText"/>
        <w:spacing w:before="240" w:after="240"/>
        <w:rPr>
          <w:lang w:val="el" w:eastAsia="el"/>
        </w:rPr>
      </w:pPr>
      <w:r>
        <w:rPr>
          <w:lang w:val="el" w:eastAsia="el"/>
        </w:rPr>
        <w:t>10.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απόφαση υπ’ αρ. 39/3/30.11.2017 (Υ.Ο.Δ.Δ. 689) του Συμβουλίου Διοίκησης της ΑΑΔΕ και τις αποφάσεις υπό στοιχεία 5294 ΕΞ 2020/17.1.2020 (Υ.Ο.Δ.Δ. 27) του Υπουργού Οικονομικών και 7608 ΕΞ 2025/17.1.2025 (Υ.Ο.Δ.Δ. 11)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11. Την εισήγηση της Διεύθυνσης Διεθνών Φορολογικών Σχέσεων της Γενικής Διεύθυνσης Φορολογίας της ΑΑΔΕ ως αρμόδιας αρχής, σύμφωνα με τις διατάξεις της παρ. 1 του άρθρου 5 και της περ. β της παρ. 1 του άρθρου 9 του ν.4170/2013, και τις διατάξεις των παρ. 1 και 2 του άρθρου δεύτερου του ν.4428/2016.</w:t>
      </w:r>
    </w:p>
    <w:p>
      <w:pPr>
        <w:pStyle w:val="PreambelText"/>
        <w:spacing w:before="240" w:after="240"/>
        <w:rPr>
          <w:lang w:val="el" w:eastAsia="el"/>
        </w:rPr>
      </w:pPr>
      <w:r>
        <w:rPr>
          <w:lang w:val="el" w:eastAsia="el"/>
        </w:rPr>
        <w:t>12.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2025 αναφορικά με πληροφορίες του έτους 2024 και του έτους 2023, αναλόγως της περίπτωσης, να τροποποιηθεί ο κατάλογος Συμμετεχουσών Δικαιοδοσιών για το έτος 2024 και να προσδιοριστεί ο αντίστοιχος κατάλογος για το έτος 2025, για την ομαλή και απρόσκοπτη συνέχιση της εφαρμογής του πλαισίου της αυτόματης ανταλλαγής πληροφοριών χρηματοοικονομικών λογαριασμών.</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ΑΑΔΕ.</w:t>
      </w:r>
    </w:p>
    <w:p>
      <w:pPr>
        <w:pStyle w:val="PreambelText"/>
        <w:spacing w:before="240" w:after="240"/>
        <w:rPr>
          <w:lang w:val="el" w:eastAsia="el"/>
        </w:rPr>
      </w:pPr>
      <w:r>
        <w:rPr>
          <w:lang w:val="el" w:eastAsia="el"/>
        </w:rPr>
        <w:t>14.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υπό στοιχεία ΠΟΛ. 1137/12.9.2017 απόφαση του Διοικητή της ΑΑΔΕ ως ακολούθως:</w:t>
      </w:r>
    </w:p>
    <w:p>
      <w:pPr>
        <w:pStyle w:val="MainText"/>
        <w:spacing w:before="120" w:after="0"/>
        <w:rPr>
          <w:lang w:val="el" w:eastAsia="el"/>
        </w:rPr>
      </w:pPr>
      <w:r>
        <w:rPr>
          <w:b/>
          <w:bCs/>
          <w:lang w:val="el" w:eastAsia="el"/>
        </w:rPr>
        <w:t>1.</w:t>
      </w:r>
      <w:r>
        <w:rPr>
          <w:lang w:val="el" w:eastAsia="el"/>
        </w:rPr>
        <w:t xml:space="preserve"> Στο άρθρο 1 προστίθεται παρ. 9 ως εξής:</w:t>
      </w:r>
    </w:p>
    <w:p>
      <w:pPr>
        <w:spacing w:before="240" w:after="240"/>
        <w:rPr>
          <w:lang w:val="el" w:eastAsia="el"/>
        </w:rPr>
      </w:pPr>
      <w:r>
        <w:rPr>
          <w:lang w:val="el" w:eastAsia="el"/>
        </w:rPr>
        <w:t>«9. Για την αυτόματη ανταλλαγή πληροφοριών χρηματοοικονομικών λογαριασμών που διενεργείται κατά το έτος 2025, ως Δηλωτέες Δικαιοδοσίες έναντι της Ελλάδας, κατά την έννοια του ορισμού του άρθρου τρίτου, Παράρτημα Ι, Τμήμα VIII Ενότητα Δ’ παρ. 4 του ν. 4428/2016, αναφορικά με πληροφορίες του έτους 2024, λογίζονται οι Δικαιοδοσίες των παρ. 1, 2, 3, 4, 5, 6, 7 και 8, με την προσθήκη των ακόλουθων Δικαιοδοσιών αναφορικά με πληροφορίες του έτους 2024 και του έτους 2023,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393"/>
        <w:gridCol w:w="2347"/>
        <w:gridCol w:w="1965"/>
        <w:gridCol w:w="1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lang w:val="el" w:eastAsia="el"/>
        </w:rPr>
        <w:t>«</w:t>
      </w:r>
    </w:p>
    <w:p>
      <w:pPr>
        <w:spacing w:before="240" w:after="240"/>
        <w:rPr>
          <w:lang w:val="el" w:eastAsia="el"/>
        </w:rPr>
      </w:pPr>
      <w:r>
        <w:rPr>
          <w:lang w:val="el" w:eastAsia="el"/>
        </w:rPr>
        <w:t>2. α. Το σημείο Θ’ του άρθρου 2 αντικαθίσταται ως εξής:</w:t>
      </w:r>
    </w:p>
    <w:p>
      <w:pPr>
        <w:spacing w:before="240" w:after="240"/>
        <w:rPr>
          <w:lang w:val="el" w:eastAsia="el"/>
        </w:rPr>
      </w:pPr>
      <w:r>
        <w:rPr>
          <w:lang w:val="el" w:eastAsia="el"/>
        </w:rPr>
        <w:t>«Θ. Για την εφαρμογή των κανόνων υποβολής στοιχείων και δέουσας επιμέλειας αναφορικά με το έτος 2024:</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Ε’, ΣΤ’, Ζ’ και Η’ του παρόντος άρθρου και προστίθενται οι ακόλουθες Δικαιοδοσίες:</w:t>
      </w:r>
    </w:p>
    <w:p>
      <w:pPr>
        <w:spacing w:before="240" w:after="240"/>
        <w:rPr>
          <w:lang w:val="el" w:eastAsia="el"/>
        </w:rPr>
      </w:pPr>
      <w:r>
        <w:rPr>
          <w:lang w:val="el" w:eastAsia="el"/>
        </w:rPr>
        <w:t>Πίνακας 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r>
    </w:tbl>
    <w:p>
      <w:pPr>
        <w:spacing w:before="240" w:after="240"/>
        <w:rPr>
          <w:lang w:val="el" w:eastAsia="el"/>
        </w:rPr>
      </w:pPr>
      <w:r>
        <w:rPr>
          <w:lang w:val="el" w:eastAsia="el"/>
        </w:rPr>
        <w:t>Οι Συμμετέχουσες Δικαιοδοσίες, όπως ορίζονται στο σημείο Θ’ του παρόντος άρθρου, λαμβάνονται υπόψη για την εφαρμογή των κανόνων υποβολής στοιχείων και δέουσας επιμέλειας από την 1η Ιανουαρίου 2024.»</w:t>
      </w:r>
    </w:p>
    <w:p>
      <w:pPr>
        <w:spacing w:before="240" w:after="240"/>
        <w:rPr>
          <w:lang w:val="el" w:eastAsia="el"/>
        </w:rPr>
      </w:pPr>
      <w:r>
        <w:rPr>
          <w:lang w:val="el" w:eastAsia="el"/>
        </w:rPr>
        <w:t>β. Μετά το σημείο Θ’ του άρθρου 2 προστίθεται σημείο Ι’ ως εξής:</w:t>
      </w:r>
    </w:p>
    <w:p>
      <w:pPr>
        <w:spacing w:before="240" w:after="240"/>
        <w:rPr>
          <w:lang w:val="el" w:eastAsia="el"/>
        </w:rPr>
      </w:pPr>
      <w:r>
        <w:rPr>
          <w:lang w:val="el" w:eastAsia="el"/>
        </w:rPr>
        <w:t>«Ι. Για την εφαρμογή των κανόνων υποβολής στοιχείων και δέουσας επιμέλειας αναφορικά με το έτος 2025:</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Ε’, ΣΤ’, Ζ’, Η’ και Θ’ του παρόντος άρθρου και προστίθεται η ακόλουθη Δικαιοδοσία:</w:t>
      </w:r>
    </w:p>
    <w:p>
      <w:pPr>
        <w:spacing w:before="240" w:after="240"/>
        <w:rPr>
          <w:lang w:val="el" w:eastAsia="el"/>
        </w:rPr>
      </w:pPr>
      <w:r>
        <w:rPr>
          <w:lang w:val="el" w:eastAsia="el"/>
        </w:rPr>
        <w:t>Πίνακας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Uganda</w:t>
            </w:r>
          </w:p>
        </w:tc>
      </w:tr>
    </w:tbl>
    <w:p>
      <w:pPr>
        <w:spacing w:before="240" w:after="240"/>
        <w:rPr>
          <w:lang w:val="el" w:eastAsia="el"/>
        </w:rPr>
      </w:pPr>
      <w:r>
        <w:rPr>
          <w:lang w:val="el" w:eastAsia="el"/>
        </w:rPr>
        <w:t>Οι Συμμετέχουσες Δικαιοδοσίες, όπως ορίζονται στο σημείο I’ του παρόντος άρθρου, λαμβάνονται υπόψη για την εφαρμογή των κανόνων υποβολής στοιχείων και δέουσας επιμέλειας από την 1η Ιανουαρίου 2025.»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παρούσα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