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96806 ΕΞ 2025</w:t>
      </w:r>
    </w:p>
    <w:p>
      <w:pPr>
        <w:pStyle w:val="PreambelText"/>
        <w:spacing w:before="240" w:after="240"/>
        <w:rPr>
          <w:lang w:val="el" w:eastAsia="el"/>
        </w:rPr>
      </w:pPr>
      <w:r>
        <w:rPr>
          <w:b/>
          <w:bCs/>
          <w:lang w:val="el" w:eastAsia="el"/>
        </w:rPr>
        <w:t xml:space="preserve">Ρύθμιση θεμάτων εφαρμογής του άρθρου 5 του </w:t>
      </w:r>
      <w:hyperlink r:id="rId4" w:history="1">
        <w:r>
          <w:rPr>
            <w:rStyle w:val="Hyperlink"/>
            <w:b/>
            <w:bCs/>
            <w:color w:val="0000EE"/>
            <w:u w:color="0000EE"/>
            <w:lang w:val="el" w:eastAsia="el"/>
          </w:rPr>
          <w:t xml:space="preserve">ν. </w:t>
        </w:r>
        <w:r>
          <w:rPr>
            <w:rStyle w:val="Hyperlink"/>
            <w:b/>
            <w:bCs/>
            <w:color w:val="0000EE"/>
            <w:u w:color="0000EE"/>
            <w:lang w:val="el" w:eastAsia="el"/>
          </w:rPr>
          <w:t>5116/2024</w:t>
        </w:r>
      </w:hyperlink>
      <w:r>
        <w:rPr>
          <w:b/>
          <w:bCs/>
          <w:lang w:val="el" w:eastAsia="el"/>
        </w:rPr>
        <w:t xml:space="preserve"> (Α’ 100).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ΑΝΑΠΤΥΞΗΣ - ΨΗΦΙΑΚΗΣ ΔΙΑΚΥΒΕΡΝΗΣΗΣ -</w:t>
      </w:r>
    </w:p>
    <w:p>
      <w:pPr>
        <w:pStyle w:val="PreambelText"/>
        <w:spacing w:before="240" w:after="240"/>
        <w:rPr>
          <w:lang w:val="el" w:eastAsia="el"/>
        </w:rPr>
      </w:pPr>
      <w:r>
        <w:rPr>
          <w:b/>
          <w:bCs/>
          <w:lang w:val="el" w:eastAsia="el"/>
        </w:rPr>
        <w:t>ΚΛΙΜΑΤΙΚΗΣ ΚΡΙΣΗΣ</w:t>
      </w:r>
    </w:p>
    <w:p>
      <w:pPr>
        <w:pStyle w:val="PreambelText"/>
        <w:spacing w:before="240" w:after="240"/>
        <w:rPr>
          <w:lang w:val="el" w:eastAsia="el"/>
        </w:rPr>
      </w:pPr>
      <w:r>
        <w:rPr>
          <w:b/>
          <w:bCs/>
          <w:lang w:val="el" w:eastAsia="el"/>
        </w:rPr>
        <w:t>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w:t>
      </w:r>
      <w:hyperlink r:id="rId5" w:history="1">
        <w:r>
          <w:rPr>
            <w:rStyle w:val="Hyperlink"/>
            <w:color w:val="0000EE"/>
            <w:u w:color="0000EE"/>
            <w:lang w:val="el" w:eastAsia="el"/>
          </w:rPr>
          <w:t>ν. 5116/2024</w:t>
        </w:r>
      </w:hyperlink>
      <w:r>
        <w:rPr>
          <w:lang w:val="el" w:eastAsia="el"/>
        </w:rPr>
        <w:t xml:space="preserve"> «Ιδιωτική ασφάλιση έναντι φυσικών καταστροφών, κρατική αρωγή και προστασία, στεγαστική συνδρομή, διατάξεις για το Πυροσβεστικό Σώμα και άλλες διατάξεις» (Α’ 100), και ιδίως των άρθρων 5 και της παρ. 2 του άρθρου 47 αυτού,</w:t>
      </w:r>
    </w:p>
    <w:p>
      <w:pPr>
        <w:pStyle w:val="StructureList1"/>
        <w:spacing w:before="120" w:after="0"/>
        <w:rPr>
          <w:lang w:val="el" w:eastAsia="el"/>
        </w:rPr>
      </w:pPr>
      <w:r>
        <w:rPr>
          <w:lang w:val="el" w:eastAsia="el"/>
        </w:rPr>
        <w:t>β)</w:t>
      </w:r>
      <w:r>
        <w:rPr>
          <w:lang w:val="en" w:eastAsia="en"/>
        </w:rPr>
        <w:tab/>
      </w:r>
      <w:r>
        <w:rPr>
          <w:lang w:val="el" w:eastAsia="el"/>
        </w:rPr>
        <w:t>των άρθρων 76 και 84 και της παρ. 51 του άρθρου 107 του</w:t>
      </w:r>
      <w:hyperlink r:id="rId6" w:history="1">
        <w:r>
          <w:rPr>
            <w:rStyle w:val="Hyperlink"/>
            <w:color w:val="0000EE"/>
            <w:u w:color="0000EE"/>
            <w:lang w:val="el" w:eastAsia="el"/>
          </w:rPr>
          <w:t>ν. 4727/2020</w:t>
        </w:r>
      </w:hyperlink>
      <w:r>
        <w:rPr>
          <w:lang w:val="el" w:eastAsia="el"/>
        </w:rPr>
        <w:t xml:space="preserve">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σε συνδυασμό με το άρθρο 47 του ν. 4623/2019 (Α’134) και την παρ. 1 του άρθρου 50 του ν. 5099/2024 (Α’48), καθώς και του</w:t>
      </w:r>
      <w:hyperlink r:id="rId7" w:history="1">
        <w:r>
          <w:rPr>
            <w:rStyle w:val="Hyperlink"/>
            <w:color w:val="0000EE"/>
            <w:u w:color="0000EE"/>
            <w:lang w:val="el" w:eastAsia="el"/>
          </w:rPr>
          <w:t>ν. 3469/2006</w:t>
        </w:r>
      </w:hyperlink>
      <w:r>
        <w:rPr>
          <w:lang w:val="el" w:eastAsia="el"/>
        </w:rPr>
        <w:t xml:space="preserve">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γ)</w:t>
      </w:r>
      <w:r>
        <w:rPr>
          <w:lang w:val="en" w:eastAsia="en"/>
        </w:rPr>
        <w:tab/>
      </w:r>
      <w:r>
        <w:rPr>
          <w:lang w:val="el" w:eastAsia="el"/>
        </w:rPr>
        <w:t>του</w:t>
      </w:r>
      <w:hyperlink r:id="rId8" w:history="1">
        <w:r>
          <w:rPr>
            <w:rStyle w:val="Hyperlink"/>
            <w:color w:val="0000EE"/>
            <w:u w:color="0000EE"/>
            <w:lang w:val="el" w:eastAsia="el"/>
          </w:rPr>
          <w:t>ν. 4622/2019</w:t>
        </w:r>
      </w:hyperlink>
      <w:r>
        <w:rPr>
          <w:lang w:val="el" w:eastAsia="el"/>
        </w:rPr>
        <w:t xml:space="preserve">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του</w:t>
      </w:r>
      <w:hyperlink r:id="rId9" w:history="1">
        <w:r>
          <w:rPr>
            <w:rStyle w:val="Hyperlink"/>
            <w:color w:val="0000EE"/>
            <w:u w:color="0000EE"/>
            <w:lang w:val="el" w:eastAsia="el"/>
          </w:rPr>
          <w:t>π.δ. 237/1986</w:t>
        </w:r>
      </w:hyperlink>
      <w:r>
        <w:rPr>
          <w:lang w:val="el" w:eastAsia="el"/>
        </w:rPr>
        <w:t xml:space="preserve"> «Κωδικοποίηση των διατάξεων του ν. 489/1976 (ΦΕΚ Α’ 331/76) ”περί υποχρεωτικής Ασφαλίσεως της εξ ατυχημάτων αυτοκινήτων αστικής ευθύνης”, όπως συμπληρώθηκε και τροποποιήθηκε από τον ν. 1569/1985 (Α’ 183) και τα π.δ. 1019/1981 (Α’ 253) και π.δ. 118/1985 (Α’ 35)» (Α’ 110),</w:t>
      </w:r>
    </w:p>
    <w:p>
      <w:pPr>
        <w:pStyle w:val="StructureList1"/>
        <w:spacing w:before="120" w:after="0"/>
        <w:rPr>
          <w:lang w:val="el" w:eastAsia="el"/>
        </w:rPr>
      </w:pPr>
      <w:r>
        <w:rPr>
          <w:lang w:val="el" w:eastAsia="el"/>
        </w:rPr>
        <w:t>ε)</w:t>
      </w:r>
      <w:r>
        <w:rPr>
          <w:lang w:val="en" w:eastAsia="en"/>
        </w:rPr>
        <w:tab/>
      </w:r>
      <w:r>
        <w:rPr>
          <w:lang w:val="el" w:eastAsia="el"/>
        </w:rPr>
        <w:t>του</w:t>
      </w:r>
      <w:hyperlink r:id="rId10" w:history="1">
        <w:r>
          <w:rPr>
            <w:rStyle w:val="Hyperlink"/>
            <w:color w:val="0000EE"/>
            <w:u w:color="0000EE"/>
            <w:lang w:val="el" w:eastAsia="el"/>
          </w:rPr>
          <w:t xml:space="preserve">π.δ. 27/2025 </w:t>
        </w:r>
      </w:hyperlink>
      <w:r>
        <w:rPr>
          <w:lang w:val="el" w:eastAsia="el"/>
        </w:rPr>
        <w:t>«Διορισμός Υπουργών, Αναπληρωτή Υπουργού, Υφυπουργών και Αντιπροέδρου της Κυβέρνησης» (Α’ 44),</w:t>
      </w:r>
    </w:p>
    <w:p>
      <w:pPr>
        <w:pStyle w:val="StructureList1"/>
        <w:spacing w:before="120" w:after="0"/>
        <w:rPr>
          <w:lang w:val="el" w:eastAsia="el"/>
        </w:rPr>
      </w:pPr>
      <w:r>
        <w:rPr>
          <w:lang w:val="el" w:eastAsia="el"/>
        </w:rPr>
        <w:t>στ)</w:t>
      </w:r>
      <w:r>
        <w:rPr>
          <w:lang w:val="en" w:eastAsia="en"/>
        </w:rPr>
        <w:tab/>
      </w:r>
      <w:r>
        <w:rPr>
          <w:lang w:val="el" w:eastAsia="el"/>
        </w:rPr>
        <w:t>του</w:t>
      </w:r>
      <w:hyperlink r:id="rId11" w:history="1">
        <w:r>
          <w:rPr>
            <w:rStyle w:val="Hyperlink"/>
            <w:color w:val="0000EE"/>
            <w:u w:color="0000EE"/>
            <w:lang w:val="el" w:eastAsia="el"/>
          </w:rPr>
          <w:t>π.δ. 32/2024</w:t>
        </w:r>
      </w:hyperlink>
      <w:r>
        <w:rPr>
          <w:lang w:val="el" w:eastAsia="el"/>
        </w:rPr>
        <w:t xml:space="preserve"> «Διορισμός Υπουργών και Υφυπουργών» (Α’ 91),</w:t>
      </w:r>
    </w:p>
    <w:p>
      <w:pPr>
        <w:pStyle w:val="StructureList1"/>
        <w:spacing w:before="120" w:after="0"/>
        <w:rPr>
          <w:lang w:val="el" w:eastAsia="el"/>
        </w:rPr>
      </w:pPr>
      <w:r>
        <w:rPr>
          <w:lang w:val="el" w:eastAsia="el"/>
        </w:rPr>
        <w:t>ζ)</w:t>
      </w:r>
      <w:r>
        <w:rPr>
          <w:lang w:val="en" w:eastAsia="en"/>
        </w:rPr>
        <w:tab/>
      </w:r>
      <w:r>
        <w:rPr>
          <w:lang w:val="el" w:eastAsia="el"/>
        </w:rPr>
        <w:t>του</w:t>
      </w:r>
      <w:hyperlink r:id="rId12" w:history="1">
        <w:r>
          <w:rPr>
            <w:rStyle w:val="Hyperlink"/>
            <w:color w:val="0000EE"/>
            <w:u w:color="0000EE"/>
            <w:lang w:val="el" w:eastAsia="el"/>
          </w:rPr>
          <w:t xml:space="preserve">π.δ. 79/2023 </w:t>
        </w:r>
      </w:hyperlink>
      <w:r>
        <w:rPr>
          <w:lang w:val="el" w:eastAsia="el"/>
        </w:rPr>
        <w:t>«Διορισμός Υπουργών, Αναπληρωτών Υπουργών και Υφυπουργών» (Α’ 131),</w:t>
      </w:r>
    </w:p>
    <w:p>
      <w:pPr>
        <w:pStyle w:val="StructureList1"/>
        <w:spacing w:before="120" w:after="0"/>
        <w:rPr>
          <w:lang w:val="el" w:eastAsia="el"/>
        </w:rPr>
      </w:pPr>
      <w:r>
        <w:rPr>
          <w:lang w:val="el" w:eastAsia="el"/>
        </w:rPr>
        <w:t>η)</w:t>
      </w:r>
      <w:r>
        <w:rPr>
          <w:lang w:val="en" w:eastAsia="en"/>
        </w:rPr>
        <w:tab/>
      </w:r>
      <w:r>
        <w:rPr>
          <w:lang w:val="el" w:eastAsia="el"/>
        </w:rPr>
        <w:t>του</w:t>
      </w:r>
      <w:hyperlink r:id="rId13" w:history="1">
        <w:r>
          <w:rPr>
            <w:rStyle w:val="Hyperlink"/>
            <w:color w:val="0000EE"/>
            <w:u w:color="0000EE"/>
            <w:lang w:val="el" w:eastAsia="el"/>
          </w:rPr>
          <w:t xml:space="preserve">π.δ. 77/2023 </w:t>
        </w:r>
      </w:hyperlink>
      <w:r>
        <w:rPr>
          <w:lang w:val="el" w:eastAsia="el"/>
        </w:rPr>
        <w:t>«Σύσταση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w:t>
      </w:r>
      <w:hyperlink r:id="rId14" w:history="1">
        <w:r>
          <w:rPr>
            <w:rStyle w:val="Hyperlink"/>
            <w:color w:val="0000EE"/>
            <w:u w:color="0000EE"/>
            <w:lang w:val="el" w:eastAsia="el"/>
          </w:rPr>
          <w:t xml:space="preserve">π.δ. 82/2023 </w:t>
        </w:r>
      </w:hyperlink>
      <w:r>
        <w:rPr>
          <w:lang w:val="el" w:eastAsia="el"/>
        </w:rPr>
        <w:t xml:space="preserve">«Μετονομασία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w:t>
      </w:r>
      <w:hyperlink r:id="rId15" w:history="1">
        <w:r>
          <w:rPr>
            <w:rStyle w:val="Hyperlink"/>
            <w:color w:val="0000EE"/>
            <w:u w:color="0000EE"/>
            <w:lang w:val="el" w:eastAsia="el"/>
          </w:rPr>
          <w:t xml:space="preserve">π.δ. 77/2023 </w:t>
        </w:r>
      </w:hyperlink>
      <w:r>
        <w:rPr>
          <w:lang w:val="el" w:eastAsia="el"/>
        </w:rPr>
        <w:t>(Α’ 130) - Μεταβατικές διατάξεις» (Α’ 139), ιδίως της παρ. 1 του άρθρου 1 αυτού,</w:t>
      </w:r>
    </w:p>
    <w:p>
      <w:pPr>
        <w:pStyle w:val="StructureList1"/>
        <w:spacing w:before="120" w:after="0"/>
        <w:rPr>
          <w:lang w:val="el" w:eastAsia="el"/>
        </w:rPr>
      </w:pPr>
      <w:r>
        <w:rPr>
          <w:lang w:val="el" w:eastAsia="el"/>
        </w:rPr>
        <w:t>ι)</w:t>
      </w:r>
      <w:r>
        <w:rPr>
          <w:lang w:val="en" w:eastAsia="en"/>
        </w:rPr>
        <w:tab/>
      </w:r>
      <w:r>
        <w:rPr>
          <w:lang w:val="el" w:eastAsia="el"/>
        </w:rPr>
        <w:t>του</w:t>
      </w:r>
      <w:hyperlink r:id="rId16" w:history="1">
        <w:r>
          <w:rPr>
            <w:rStyle w:val="Hyperlink"/>
            <w:color w:val="0000EE"/>
            <w:u w:color="0000EE"/>
            <w:lang w:val="el" w:eastAsia="el"/>
          </w:rPr>
          <w:t xml:space="preserve">π.δ. 142/2017 </w:t>
        </w:r>
      </w:hyperlink>
      <w:r>
        <w:rPr>
          <w:lang w:val="el" w:eastAsia="el"/>
        </w:rPr>
        <w:t>«Οργανισμός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w:t>
      </w:r>
      <w:hyperlink r:id="rId17" w:history="1">
        <w:r>
          <w:rPr>
            <w:rStyle w:val="Hyperlink"/>
            <w:color w:val="0000EE"/>
            <w:u w:color="0000EE"/>
            <w:lang w:val="el" w:eastAsia="el"/>
          </w:rPr>
          <w:t xml:space="preserve">π.δ. 5/2022 </w:t>
        </w:r>
      </w:hyperlink>
      <w:r>
        <w:rPr>
          <w:lang w:val="el" w:eastAsia="el"/>
        </w:rPr>
        <w:t>«Οργανισμός Υπουργείου Ανάπτυξης και Επενδύσεων» (Α’ 15),</w:t>
      </w:r>
    </w:p>
    <w:p>
      <w:pPr>
        <w:pStyle w:val="StructureList1"/>
        <w:spacing w:before="120" w:after="0"/>
        <w:rPr>
          <w:lang w:val="el" w:eastAsia="el"/>
        </w:rPr>
      </w:pPr>
      <w:r>
        <w:rPr>
          <w:lang w:val="el" w:eastAsia="el"/>
        </w:rPr>
        <w:t>ιβ)</w:t>
      </w:r>
      <w:r>
        <w:rPr>
          <w:lang w:val="en" w:eastAsia="en"/>
        </w:rPr>
        <w:tab/>
      </w:r>
      <w:r>
        <w:rPr>
          <w:lang w:val="el" w:eastAsia="el"/>
        </w:rPr>
        <w:t>του</w:t>
      </w:r>
      <w:hyperlink r:id="rId18" w:history="1">
        <w:r>
          <w:rPr>
            <w:rStyle w:val="Hyperlink"/>
            <w:color w:val="0000EE"/>
            <w:u w:color="0000EE"/>
            <w:lang w:val="el" w:eastAsia="el"/>
          </w:rPr>
          <w:t xml:space="preserve">π.δ. 70/2021 </w:t>
        </w:r>
      </w:hyperlink>
      <w:r>
        <w:rPr>
          <w:lang w:val="el" w:eastAsia="el"/>
        </w:rPr>
        <w:t>«Σύσταση Υπουργείου Κλιματικής Κρίσης και Πολιτικής Προστασίας, μεταφορά υπηρεσιών και αρμοδιοτήτων μεταξύ Υπουργείων» (Α’ 161) και,</w:t>
      </w:r>
    </w:p>
    <w:p>
      <w:pPr>
        <w:pStyle w:val="StructureList1"/>
        <w:spacing w:before="120" w:after="0"/>
        <w:rPr>
          <w:lang w:val="el" w:eastAsia="el"/>
        </w:rPr>
      </w:pPr>
      <w:r>
        <w:rPr>
          <w:lang w:val="el" w:eastAsia="el"/>
        </w:rPr>
        <w:t>ιγ)</w:t>
      </w:r>
      <w:r>
        <w:rPr>
          <w:lang w:val="en" w:eastAsia="en"/>
        </w:rPr>
        <w:tab/>
      </w:r>
      <w:r>
        <w:rPr>
          <w:lang w:val="el" w:eastAsia="el"/>
        </w:rPr>
        <w:t>του άρθρου 90 του Κώδικα νομοθεσίας για την Κυβέρνηση και τα κυβερνητικά όργανα (π.δ. 63/2005, A’ 98), το οποίο διατηρήθηκε σε ισχύ με την περ. 22 του άρθρου 119 του ν. 4622/2019.</w:t>
      </w:r>
    </w:p>
    <w:p>
      <w:pPr>
        <w:pStyle w:val="PreambelText"/>
        <w:spacing w:before="240" w:after="240"/>
        <w:rPr>
          <w:lang w:val="el" w:eastAsia="el"/>
        </w:rPr>
      </w:pPr>
      <w:r>
        <w:rPr>
          <w:lang w:val="el" w:eastAsia="el"/>
        </w:rPr>
        <w:t>2. Την υπό στοιχεία 118944ΕΞ2019/23.10.2019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 Τις υπό στοιχεία 33024/ΓΔΟΥ/ΔΠΔΑ/3.6.2025 και 95855 ΕΞ 2025/02-06-2025 εισηγήσεις του άρθρου 24 του</w:t>
      </w:r>
      <w:hyperlink r:id="rId19" w:history="1">
        <w:r>
          <w:rPr>
            <w:rStyle w:val="Hyperlink"/>
            <w:color w:val="0000EE"/>
            <w:u w:color="0000EE"/>
            <w:lang w:val="el" w:eastAsia="el"/>
          </w:rPr>
          <w:t>ν. 4270/2014</w:t>
        </w:r>
      </w:hyperlink>
      <w:r>
        <w:rPr>
          <w:lang w:val="el" w:eastAsia="el"/>
        </w:rPr>
        <w:t xml:space="preserve"> (Α’ 143) του Προϊσταμένου της Γενικής Διεύθυνσης Οικονομικών Υπηρεσιών του Υπουργείου Κλιματικής Κρίσης και Πολιτικής Προστασίας και της Προϊσταμένης της Γενικής Διεύθυνσης Οικονομικών Υπηρεσιών του Υπουργείου Εθνικής Οικονομίας και Οικονομικών, αντιστοίχως, σύμφωνα με τις οποίες από την παρούσα δεν προκαλείται δαπάνη σε βάρος του κρατικού προϋπολογισμού.</w:t>
      </w:r>
    </w:p>
    <w:p>
      <w:pPr>
        <w:pStyle w:val="PreambelText"/>
        <w:spacing w:before="240" w:after="240"/>
        <w:rPr>
          <w:lang w:val="el" w:eastAsia="el"/>
        </w:rPr>
      </w:pPr>
      <w:r>
        <w:rPr>
          <w:lang w:val="el" w:eastAsia="el"/>
        </w:rPr>
        <w:t>4. Το γεγονός ότι οι διατάξεις της παρούσας δεν αφορούν σε διοικητική διαδικασία για την οποία υπάρχει υποχρέωση καταχώρισης στο ΕΜΔΔ - ΜΙΤΟΣ,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Η υποχρέωση ασφάλισης που προβλέπεται στην παρ. 1 του άρθρου 5 του</w:t>
      </w:r>
      <w:hyperlink r:id="rId20" w:history="1">
        <w:r>
          <w:rPr>
            <w:rStyle w:val="Hyperlink"/>
            <w:color w:val="0000EE"/>
            <w:u w:color="0000EE"/>
            <w:lang w:val="el" w:eastAsia="el"/>
          </w:rPr>
          <w:t>ν. 5116/2024</w:t>
        </w:r>
      </w:hyperlink>
      <w:r>
        <w:rPr>
          <w:lang w:val="el" w:eastAsia="el"/>
        </w:rPr>
        <w:t xml:space="preserve"> (Α’ 100), αφορά επιχειρήσεις με ετήσια ακαθάριστα έσοδα, κατά το εκάστοτε προηγούμενο φορολογικό έτος, άνω των πεντακοσίων χιλιάδων (500.000) ευρώ με την επιφύλαξη των επιχειρήσεων που ορίζονται στο άρθρο 3 της παρούσας. Η ασφάλιση καλύπτει κατ’ ελάχιστον τον κίνδυνο από υλικές ζημιές που προκαλούνται από δασική πυρκαγιά, πλημμύρα και σεισμό στις ιδιόκτητες κτιριακές εγκαταστάσεις, καθώς και σε λοιπά στοιχεία ενεργητικού της επιχείρησης, όπως τον εξοπλισμό, τις πρώτες ύλες, τα εμπορεύματα, τα φορτηγά αυτοκίνητα και αυτοκίνητα επαγγελματικής χρήσης, τα μέσα παραγωγής και τα αποθηκευμένα προϊόντα και για ποσοστό τουλάχιστον εβδομήντα τοις εκατό (70%) της αξίας του συνόλου του παραπάνω ενεργητικού, με την επιφύλαξη των οριζομένων στο άρθρο 2 της υπό στοιχεία 94798ΕΞ2025/30.05.2025 (Β’2706) κοινής απόφασης των Υπουργών Εθνικής Οικονομίας και Οικονομικών, Ανάπτυξης και Κλιματικής Κρίσης και Πολιτικής Προστασίας.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Υποχρεώσεις ασφαλιστικών επιχειρήσεων</w:t>
      </w:r>
    </w:p>
    <w:p>
      <w:pPr>
        <w:spacing w:before="240" w:after="240"/>
        <w:rPr>
          <w:lang w:val="el" w:eastAsia="el"/>
        </w:rPr>
      </w:pPr>
      <w:r>
        <w:rPr>
          <w:lang w:val="el" w:eastAsia="el"/>
        </w:rPr>
        <w:t>Οι ασφαλιστικές επιχειρήσεις, που δραστηριοποιούνται νομίμως στην Ελλάδα έχουν την υποχρέωση να απαντούν εντός 30 ημερών από την περιέλευση του αιτήματος με κάθε πρόσφορο τρόπο, θετικά ή αρνητικά στα αιτήματα ασφάλισης των επιχειρήσεων, οι οποίες εμπίπτουν στο πεδίο εφαρμογής της παρούσας. Μετά την άπρακτη παρέλευση της ανωτέρω προθεσμίας θεωρείται ότι έχει χορηγηθεί αρνητική απάντηση.</w:t>
      </w:r>
    </w:p>
    <w:p>
      <w:pPr>
        <w:spacing w:before="240" w:after="240"/>
        <w:rPr>
          <w:lang w:val="el" w:eastAsia="el"/>
        </w:rPr>
      </w:pPr>
      <w:r>
        <w:rPr>
          <w:lang w:val="el" w:eastAsia="el"/>
        </w:rPr>
        <w:t>Οι ασφαλιστικές επιχειρήσεις που δραστηριοποιούνται νομίμως στην Ελλάδα έχουν την υποχρέωση να αποστέλλουν κάθε είδους στοιχεία που απαιτούνται στις υπηρεσίες που περιλαμβάνονται στο άρθρο 4.</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Εξαιρέσεις από την υποχρέωση ασφάλισης</w:t>
      </w:r>
    </w:p>
    <w:p>
      <w:pPr>
        <w:spacing w:before="240" w:after="240"/>
        <w:rPr>
          <w:lang w:val="el" w:eastAsia="el"/>
        </w:rPr>
      </w:pPr>
      <w:r>
        <w:rPr>
          <w:lang w:val="el" w:eastAsia="el"/>
        </w:rPr>
        <w:t>Από την υποχρέωση ασφάλισης της παρ. 1 του άρθρου 5 του</w:t>
      </w:r>
      <w:hyperlink r:id="rId21" w:history="1">
        <w:r>
          <w:rPr>
            <w:rStyle w:val="Hyperlink"/>
            <w:color w:val="0000EE"/>
            <w:u w:color="0000EE"/>
            <w:lang w:val="el" w:eastAsia="el"/>
          </w:rPr>
          <w:t>ν. 5116/2024</w:t>
        </w:r>
      </w:hyperlink>
      <w:r>
        <w:rPr>
          <w:lang w:val="el" w:eastAsia="el"/>
        </w:rPr>
        <w:t xml:space="preserve"> (Α’ 100) εξαιρούνται:</w:t>
      </w:r>
    </w:p>
    <w:p>
      <w:pPr>
        <w:spacing w:before="240" w:after="240"/>
        <w:rPr>
          <w:lang w:val="el" w:eastAsia="el"/>
        </w:rPr>
      </w:pPr>
      <w:r>
        <w:rPr>
          <w:lang w:val="el" w:eastAsia="el"/>
        </w:rPr>
        <w:t>α. Οι φορείς του δημόσιου τομέα, όπως αυτός ορίζεται στην περ. α) της παρ. 1 του άρθρου 14 του</w:t>
      </w:r>
      <w:hyperlink r:id="rId22" w:history="1">
        <w:r>
          <w:rPr>
            <w:rStyle w:val="Hyperlink"/>
            <w:color w:val="0000EE"/>
            <w:u w:color="0000EE"/>
            <w:lang w:val="el" w:eastAsia="el"/>
          </w:rPr>
          <w:t>ν. 4270/2014</w:t>
        </w:r>
      </w:hyperlink>
      <w:r>
        <w:rPr>
          <w:lang w:val="el" w:eastAsia="el"/>
        </w:rPr>
        <w:t xml:space="preserve"> (Α’ 143) και η Εταιρεία Ακινήτων Δημοσίου Α.Ε.,</w:t>
      </w:r>
    </w:p>
    <w:p>
      <w:pPr>
        <w:spacing w:before="240" w:after="240"/>
        <w:rPr>
          <w:lang w:val="el" w:eastAsia="el"/>
        </w:rPr>
      </w:pPr>
      <w:r>
        <w:rPr>
          <w:lang w:val="el" w:eastAsia="el"/>
        </w:rPr>
        <w:t>β. οι αυθαίρετες κατασκευές που εξαιρούνται από την κρατική αρωγή,</w:t>
      </w:r>
    </w:p>
    <w:p>
      <w:pPr>
        <w:spacing w:before="240" w:after="240"/>
        <w:rPr>
          <w:lang w:val="el" w:eastAsia="el"/>
        </w:rPr>
      </w:pPr>
      <w:r>
        <w:rPr>
          <w:lang w:val="el" w:eastAsia="el"/>
        </w:rPr>
        <w:t>γ. τα πλοία, τα τρένα, τα εναέρια και εν γένει μεταφορικά μέσα που εντάσσονται στην έννοια του εξοπλισμού,</w:t>
      </w:r>
    </w:p>
    <w:p>
      <w:pPr>
        <w:spacing w:before="240" w:after="240"/>
        <w:rPr>
          <w:lang w:val="el" w:eastAsia="el"/>
        </w:rPr>
      </w:pPr>
      <w:r>
        <w:rPr>
          <w:lang w:val="el" w:eastAsia="el"/>
        </w:rPr>
        <w:t>δ. οι πάσης φύσεως εναέριες, υπόγειες και υποθαλάσσιες υποδομές, συμπεριλαμβανομένων των ορυχείων,</w:t>
      </w:r>
    </w:p>
    <w:p>
      <w:pPr>
        <w:spacing w:before="240" w:after="240"/>
        <w:rPr>
          <w:lang w:val="el" w:eastAsia="el"/>
        </w:rPr>
      </w:pPr>
      <w:r>
        <w:rPr>
          <w:lang w:val="el" w:eastAsia="el"/>
        </w:rPr>
        <w:t>ε. αγροτικές καλλιέργειες, φυτική παραγωγή, ιχθυοκαλλιέργειες και ζωικό κεφάλαιο,</w:t>
      </w:r>
    </w:p>
    <w:p>
      <w:pPr>
        <w:spacing w:before="240" w:after="240"/>
        <w:rPr>
          <w:lang w:val="el" w:eastAsia="el"/>
        </w:rPr>
      </w:pPr>
      <w:r>
        <w:rPr>
          <w:lang w:val="el" w:eastAsia="el"/>
        </w:rPr>
        <w:t>στ. οι νεοσύστατες επιχειρήσεις που δεν έχουν ακόμα δημοσιευμένες οικονομικές καταστάσεις,</w:t>
      </w:r>
    </w:p>
    <w:p>
      <w:pPr>
        <w:spacing w:before="240" w:after="240"/>
        <w:rPr>
          <w:lang w:val="el" w:eastAsia="el"/>
        </w:rPr>
      </w:pPr>
      <w:r>
        <w:rPr>
          <w:lang w:val="el" w:eastAsia="el"/>
        </w:rPr>
        <w:t>ζ. οι επιχειρήσεις οι οποίες έλαβαν τουλάχιστον δύο (2) αρνητικές απαντήσεις σε αιτήματα ασφάλισης από διαφορετικές ασφαλιστικές εταιρείες. Η εξαίρεση αυτής της περίπτωσης ισχύει για δύο (2) έτη. Μετά την παρέλευση των δύο (2) ετών, η επιχείρηση οφείλει να αιτηθεί ξανά την ασφάλιση της. Στην περίπτωση που λάβει εκ νέου δύο (2) αρνητικές απαντήσεις, η επιχείρηση εξαιρείται από την υποχρέωση ασφάλισης της παρ. 1 του άρθρου 5 του</w:t>
      </w:r>
      <w:hyperlink r:id="rId23" w:history="1">
        <w:r>
          <w:rPr>
            <w:rStyle w:val="Hyperlink"/>
            <w:color w:val="0000EE"/>
            <w:u w:color="0000EE"/>
            <w:lang w:val="el" w:eastAsia="el"/>
          </w:rPr>
          <w:t>ν. 5116/2024</w:t>
        </w:r>
      </w:hyperlink>
      <w:r>
        <w:rPr>
          <w:lang w:val="el" w:eastAsia="el"/>
        </w:rPr>
        <w:t xml:space="preserve"> για το μέλλον, χωρίς να απαιτείται οποιαδήποτε άλλη ενέργεια εκ μέρους της. Εάν η αρνητική απάντηση και από τις δύο ασφαλιστικές εταιρίες αναφέρει έναν ή και περισσότερους κινδύνους, για τους οποίους δεν μπορεί να ασφαλιστεί η υπόχρεη επιχείρηση, η εξαίρεση καταλαμβάνει μόνο αυτόν ή τους συγκεκριμένους κινδύνους. Εάν η αρνητική απάντηση και από τις δύο ασφαλιστικές εταιρίες αναφέρει ορισμένα στοιχεία του ενεργητικού, για τα οποία δεν μπορεί να ασφαλιστεί η υπόχρεη επιχείρηση, η εξαίρεση καταλαμβάνει μόνο τα στοιχεία του ενεργητικού που δεν είναι ασφαλίσιμα. Σε περίπτωση που η αξία των μη ασφαλίσιμων στοιχείων του ενεργητικού υπερβαίνει το 30% του συνόλου του ενεργητικού, τότε η υποχρέωση ασφάλισης περιορίζεται στο σύνολο των στοιχείων του ενεργητικού που είναι ασφαλίσιμα.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Διοικητικές κυρώσεις στην περίπτωση μη εκπλήρωσης της υποχρέωσης</w:t>
      </w:r>
    </w:p>
    <w:p>
      <w:pPr>
        <w:spacing w:before="240" w:after="240"/>
        <w:rPr>
          <w:lang w:val="el" w:eastAsia="el"/>
        </w:rPr>
      </w:pPr>
      <w:r>
        <w:rPr>
          <w:lang w:val="el" w:eastAsia="el"/>
        </w:rPr>
        <w:t xml:space="preserve">Στις επιχειρήσεις της παρ. 1 του άρθρου 5 του </w:t>
      </w:r>
      <w:hyperlink r:id="rId24" w:history="1">
        <w:r>
          <w:rPr>
            <w:rStyle w:val="Hyperlink"/>
            <w:color w:val="0000EE"/>
            <w:u w:color="0000EE"/>
            <w:lang w:val="el" w:eastAsia="el"/>
          </w:rPr>
          <w:t>ν. 5116/2024</w:t>
        </w:r>
      </w:hyperlink>
      <w:r>
        <w:rPr>
          <w:lang w:val="el" w:eastAsia="el"/>
        </w:rPr>
        <w:t xml:space="preserve"> που δεν τηρούν την υποχρέωση ασφάλισης της παρ. 2 του ίδιου άρθρου επιβάλλεται από την Διυπηρεσιακή Μονάδα Ελέγχου Αγοράς (ΔΙ.Μ.Ε.Α.) αυτοτελές διοικητικό πρόστιμο ύψους δέκα χιλιάδων (10.000) ευρώ στην υπόχρεη επιχείρηση. Η υπόχρεη επιχείρηση οφείλει, εντός τριάντα (30) ημερών από την κοινοποίηση της πράξης επιβολής του προστίμου, να συμμορφωθεί με την ως άνω υποχρέωση ασφάλισης, διαφορετικά το πρόστιμο επιβάλλεται στο διπλάσιο του αρχικώς επιβληθέντος. Η Διυπηρεσιακή Μονάδα Ελέγχου Αγοράς (ΔΙ.Μ.Ε.Α.)προς τον σκοπό της διαπίστωσης των παραβάσεων της υποχρέωσης ασφάλισης της παρ. 2 του άρθρου 5 του</w:t>
      </w:r>
      <w:hyperlink r:id="rId25" w:history="1">
        <w:r>
          <w:rPr>
            <w:rStyle w:val="Hyperlink"/>
            <w:color w:val="0000EE"/>
            <w:u w:color="0000EE"/>
            <w:lang w:val="el" w:eastAsia="el"/>
          </w:rPr>
          <w:t>ν. 5116/2024</w:t>
        </w:r>
      </w:hyperlink>
      <w:r>
        <w:rPr>
          <w:lang w:val="el" w:eastAsia="el"/>
        </w:rPr>
        <w:t xml:space="preserve"> δύναται να διαλειτουργεί με το Κέντρο Διαλειτουργικότητας της Γενικής Γραμματείας Πληροφοριακών Συστημάτων Δημόσιας Διοίκησης του Υπουργείου Ψηφιακής Διακυβέρνησης, και με πληροφοριακά συστήματα της ΑΑΔΕ και των Ασφαλιστικών Εταιρειών, προκειμένου να αντλεί στοιχεία και να εκτελεί διασταυρώσεις.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Οι υπόχρεες σε ασφάλιση επιχειρήσεις αποκλείονται από κάθε επιχορήγηση κρατικής αρωγής, συμπεριλαμβανομένης της στεγαστικής συνδρομής, για υλικές ζημίες στα περιουσιακά στοιχεία που αναφέρονται στην παρ. 2 του άρθρου 5 του</w:t>
      </w:r>
      <w:hyperlink r:id="rId26" w:history="1">
        <w:r>
          <w:rPr>
            <w:rStyle w:val="Hyperlink"/>
            <w:color w:val="0000EE"/>
            <w:u w:color="0000EE"/>
            <w:lang w:val="el" w:eastAsia="el"/>
          </w:rPr>
          <w:t>ν. 5116/2024</w:t>
        </w:r>
      </w:hyperlink>
      <w:r>
        <w:rPr>
          <w:lang w:val="el" w:eastAsia="el"/>
        </w:rPr>
        <w:t>, σε περίπτωση επέλευσης των κινδύνων της δασικής πυρκαγιάς, πλημμύρας και σεισμού, από 1ης Ιουνίου 2025 και μετά.</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Ιουνίου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ΚΥΡΙΑΚΟΣ</w:t>
      </w:r>
    </w:p>
    <w:p>
      <w:pPr>
        <w:spacing w:before="240" w:after="240"/>
        <w:rPr>
          <w:lang w:val="el" w:eastAsia="el"/>
        </w:rPr>
      </w:pPr>
      <w:r>
        <w:rPr>
          <w:lang w:val="el" w:eastAsia="el"/>
        </w:rPr>
        <w:t>ΠΙΕΡΡΑΚΑΚΗΣ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w:t>
      </w:r>
    </w:p>
    <w:p>
      <w:pPr>
        <w:spacing w:before="240" w:after="240"/>
        <w:rPr>
          <w:lang w:val="el" w:eastAsia="el"/>
        </w:rPr>
      </w:pPr>
      <w:r>
        <w:rPr>
          <w:lang w:val="el" w:eastAsia="el"/>
        </w:rPr>
        <w:t>ΠΑΠΑΣΤΕΡΓΙΟΥ</w:t>
      </w:r>
    </w:p>
    <w:p>
      <w:pPr>
        <w:spacing w:before="240" w:after="240"/>
        <w:rPr>
          <w:lang w:val="el" w:eastAsia="el"/>
        </w:rPr>
      </w:pPr>
      <w:r>
        <w:rPr>
          <w:lang w:val="el" w:eastAsia="el"/>
        </w:rPr>
        <w:t>Ανάπτυξης</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b/>
          <w:bCs/>
          <w:lang w:val="el" w:eastAsia="el"/>
        </w:rPr>
        <w:t>ΙΩΑΝΝΗΣ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192.168.10.52:8080/NomoiTitle/get/%cf%80.%ce%b4.%2027_2025" TargetMode="External" /><Relationship Id="rId11" Type="http://schemas.openxmlformats.org/officeDocument/2006/relationships/hyperlink" Target="http://192.168.10.52:8080/NomoiTitle/get/%cf%80.%ce%b4.%2032_2024" TargetMode="External" /><Relationship Id="rId12" Type="http://schemas.openxmlformats.org/officeDocument/2006/relationships/hyperlink" Target="http://192.168.10.52:8080/NomoiTitle/get/%cf%80.%ce%b4.%2079_2023" TargetMode="External" /><Relationship Id="rId13" Type="http://schemas.openxmlformats.org/officeDocument/2006/relationships/hyperlink" Target="http://192.168.10.52:8080/NomoiTitle/get/%cf%80.%ce%b4.%2077_2023" TargetMode="External" /><Relationship Id="rId14" Type="http://schemas.openxmlformats.org/officeDocument/2006/relationships/hyperlink" Target="http://192.168.10.52:8080/NomoiTitle/get/%cf%80.%ce%b4.%2082_2023" TargetMode="External" /><Relationship Id="rId15" Type="http://schemas.openxmlformats.org/officeDocument/2006/relationships/hyperlink" Target="http://192.168.10.52:8080/NomoiTitle/get/%cf%80.%ce%b4.%2077_2023" TargetMode="External" /><Relationship Id="rId16" Type="http://schemas.openxmlformats.org/officeDocument/2006/relationships/hyperlink" Target="http://192.168.10.52:8080/NomoiTitle/get/%cf%80.%ce%b4.%20142_2017" TargetMode="External" /><Relationship Id="rId17" Type="http://schemas.openxmlformats.org/officeDocument/2006/relationships/hyperlink" Target="http://192.168.10.52:8080/NomoiTitle/get/%cf%80.%ce%b4.%205_2022" TargetMode="External" /><Relationship Id="rId18" Type="http://schemas.openxmlformats.org/officeDocument/2006/relationships/hyperlink" Target="http://192.168.10.52:8080/NomoiTitle/get/%cf%80.%ce%b4.%2070_2021" TargetMode="External" /><Relationship Id="rId19" Type="http://schemas.openxmlformats.org/officeDocument/2006/relationships/hyperlink" Target="http://192.168.10.52:8080/NomoiTitle/get/%ce%bd.%204270_2014" TargetMode="External" /><Relationship Id="rId2" Type="http://schemas.openxmlformats.org/officeDocument/2006/relationships/webSettings" Target="webSettings.xml" /><Relationship Id="rId20" Type="http://schemas.openxmlformats.org/officeDocument/2006/relationships/hyperlink" Target="http://192.168.10.52:8080/NomoiTitle/get/%ce%bd.%205116_2024" TargetMode="External" /><Relationship Id="rId21" Type="http://schemas.openxmlformats.org/officeDocument/2006/relationships/hyperlink" Target="http://192.168.10.52:8080/NomoiTitle/get/%ce%bd.%205116_2024" TargetMode="External" /><Relationship Id="rId22" Type="http://schemas.openxmlformats.org/officeDocument/2006/relationships/hyperlink" Target="http://192.168.10.52:8080/NomoiTitle/get/%ce%bd.%204270_2014" TargetMode="External" /><Relationship Id="rId23" Type="http://schemas.openxmlformats.org/officeDocument/2006/relationships/hyperlink" Target="http://192.168.10.52:8080/NomoiTitle/get/%ce%bd.%205116_2024" TargetMode="External" /><Relationship Id="rId24" Type="http://schemas.openxmlformats.org/officeDocument/2006/relationships/hyperlink" Target="http://192.168.10.52:8080/NomoiTitle/get/%ce%bd.%205116_2024" TargetMode="External" /><Relationship Id="rId25" Type="http://schemas.openxmlformats.org/officeDocument/2006/relationships/hyperlink" Target="http://192.168.10.52:8080/NomoiTitle/get/%ce%bd.%205116_2024" TargetMode="External" /><Relationship Id="rId26" Type="http://schemas.openxmlformats.org/officeDocument/2006/relationships/hyperlink" Target="http://192.168.10.52:8080/NomoiTitle/get/%ce%bd.%205116_2024"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192.168.10.52:8080/NomoiTitle/get/%ce%bd.%205116_2024" TargetMode="External" /><Relationship Id="rId5" Type="http://schemas.openxmlformats.org/officeDocument/2006/relationships/hyperlink" Target="http://192.168.10.52:8080/NomoiTitle/get/%ce%bd.%205116_2024" TargetMode="External" /><Relationship Id="rId6" Type="http://schemas.openxmlformats.org/officeDocument/2006/relationships/hyperlink" Target="http://192.168.10.52:8080/NomoiTitle/get/%ce%bd.%204727_2020" TargetMode="External" /><Relationship Id="rId7" Type="http://schemas.openxmlformats.org/officeDocument/2006/relationships/hyperlink" Target="http://192.168.10.52:8080/NomoiTitle/get/%ce%bd.%203469_2006" TargetMode="External" /><Relationship Id="rId8" Type="http://schemas.openxmlformats.org/officeDocument/2006/relationships/hyperlink" Target="http://192.168.10.52:8080/NomoiTitle/get/%ce%bd.%204622_2019" TargetMode="External" /><Relationship Id="rId9" Type="http://schemas.openxmlformats.org/officeDocument/2006/relationships/hyperlink" Target="http://192.168.10.52:8080/NomoiTitle/get/%cf%80.%ce%b4.%20237_19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