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46587</w:t>
      </w:r>
    </w:p>
    <w:p>
      <w:pPr>
        <w:pStyle w:val="PreambelText"/>
        <w:spacing w:before="240" w:after="240"/>
        <w:rPr>
          <w:lang w:val="el" w:eastAsia="el"/>
        </w:rPr>
      </w:pPr>
      <w:r>
        <w:rPr>
          <w:b/>
          <w:bCs/>
          <w:lang w:val="el" w:eastAsia="el"/>
        </w:rPr>
        <w:t>Ρύθμιση των λεπτομερειών για τη χορήγηση κινήτρων ίδρυσης Επιχειρηματικού Πάρκου και εγκατάστασης εντός αυτού κατ’ εφαρμογή της παρ. 12 του άρθρου 46 του ν. 4982/2022 (Α’ 195).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4982/2022 «Ίδρυση, ανάπτυξη, διαχείριση και λειτουργία των Επιχειρηματικών Πάρκων-Ενιαίο πλαίσιο ρύθμισης για τους φορείς Οργανωμένων Υποδοχέων Μεταποιητικών και Επιχειρηματικών Δραστηριοτήτων και άλλες διατάξεις για την ενίσχυση της ανάπτυξης» (Α’ 195) και ειδικότερα τα άρθρα 28, 30, 46 παρ. 12 και 47 παρ. 23.</w:t>
      </w:r>
    </w:p>
    <w:p>
      <w:pPr>
        <w:pStyle w:val="PreambelText"/>
        <w:spacing w:before="240" w:after="240"/>
        <w:rPr>
          <w:lang w:val="el" w:eastAsia="el"/>
        </w:rPr>
      </w:pPr>
      <w:r>
        <w:rPr>
          <w:lang w:val="el" w:eastAsia="el"/>
        </w:rPr>
        <w:t>2. Τον Κανονισμό (ΕΚ) 2023/2831 της Επιτροπής της 13ης Δεκεμβρίου 2023, σχετικά με την εφαρμογή των άρθρων 107 και 108 της Συνθήκης για την λειτουργία της Ευρωπαϊκής Ένωσης στις ενισχύσεις ήσσονος σημασίας.</w:t>
      </w:r>
    </w:p>
    <w:p>
      <w:pPr>
        <w:pStyle w:val="PreambelText"/>
        <w:spacing w:before="240" w:after="240"/>
        <w:rPr>
          <w:lang w:val="el" w:eastAsia="el"/>
        </w:rPr>
      </w:pPr>
      <w:r>
        <w:rPr>
          <w:lang w:val="el" w:eastAsia="el"/>
        </w:rPr>
        <w:t>3. Τον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Το π.δ. 27/2025 «Διορισμός Υπουργών, Αναπληρωτή Υπουργού, Υφυπουργών και Αντιπροέδρου Κυβέρνησης» (Α’ 44).</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Την υπ’ αρ. 22421/18.3.2025 κοινή απόφαση του Πρωθυπουργού και του Υπουργού Ανάπτυξης για την «Ανάθεση αρμοδιοτήτων στον Υφυπουργό Ανάπτυξης, Λάζαρο Τσαβδαρίδη» (Β’ 1315).</w:t>
      </w:r>
    </w:p>
    <w:p>
      <w:pPr>
        <w:pStyle w:val="PreambelText"/>
        <w:spacing w:before="240" w:after="240"/>
        <w:rPr>
          <w:lang w:val="el" w:eastAsia="el"/>
        </w:rPr>
      </w:pPr>
      <w:r>
        <w:rPr>
          <w:lang w:val="el" w:eastAsia="el"/>
        </w:rPr>
        <w:t>11. Την υπό στοιχεία ΠΟΛ 1092/2012 κοινή απόφαση των Αναπληρωτών Υπουργών Οικονομικών και Ανάπτυξης, Ανταγωνιστικότητας και Ναυτιλίας «Καθορισμός των προϋποθέσεων και της διαδικασίας χορήγησης των κινήτρων, τις συνέπειες παραβίασης των όρων χορήγησης τους και κάθε άλλο θέμα σχετικό με την εφαρμογή των διατάξεων των παρ. 1 και 3 του άρθρου 62 του ν. 3982/2011 (Α’ 143)».</w:t>
      </w:r>
    </w:p>
    <w:p>
      <w:pPr>
        <w:pStyle w:val="PreambelText"/>
        <w:spacing w:before="240" w:after="240"/>
        <w:rPr>
          <w:lang w:val="el" w:eastAsia="el"/>
        </w:rPr>
      </w:pPr>
      <w:r>
        <w:rPr>
          <w:lang w:val="el" w:eastAsia="el"/>
        </w:rPr>
        <w:t>12. Την ανάγκη καθορισμού της διαδικασίας χορήγησης των κινήτρων των άρθρων 28 και 30 του ν. 4982/2022 (Α’ 195), των συνεπειών παραβίασης των όρων χορήγησης της απαλλαγής και της εξειδίκευσης της κατάλληλης νομικής βάσης χορήγησης αυτών.</w:t>
      </w:r>
    </w:p>
    <w:p>
      <w:pPr>
        <w:pStyle w:val="PreambelText"/>
        <w:spacing w:before="240" w:after="240"/>
        <w:rPr>
          <w:lang w:val="el" w:eastAsia="el"/>
        </w:rPr>
      </w:pPr>
      <w:r>
        <w:rPr>
          <w:lang w:val="el" w:eastAsia="el"/>
        </w:rPr>
        <w:t>13. Τα από 6.2.2025 (αρ.πρ. ΓΓΒ 10726/129/7.2.2025) και 1.4.2025 ηλεκτρονικά μηνύματα της ΕΥΚΕ του Υπουργείου Εθνικής Οικονομίας και Οικονομικών τα οποία επέχουν θέση γνωμοδότησης.</w:t>
      </w:r>
    </w:p>
    <w:p>
      <w:pPr>
        <w:pStyle w:val="PreambelText"/>
        <w:spacing w:before="240" w:after="240"/>
        <w:rPr>
          <w:lang w:val="el" w:eastAsia="el"/>
        </w:rPr>
      </w:pPr>
      <w:r>
        <w:rPr>
          <w:lang w:val="el" w:eastAsia="el"/>
        </w:rPr>
        <w:t>14. Τα από 10.2.2025 (αρ. πρ. ΓΓΒ 11528/148/11.2.2025) και 1.4.2025 ηλεκτρονικά μηνύματα της ΚΕΜΚΕ του Υπουργείου Εθνικής Οικονομίας και Οικονομικών τα οποία επέχουν θέση γνωμοδότησης.</w:t>
      </w:r>
    </w:p>
    <w:p>
      <w:pPr>
        <w:pStyle w:val="PreambelText"/>
        <w:spacing w:before="240" w:after="240"/>
        <w:rPr>
          <w:lang w:val="el" w:eastAsia="el"/>
        </w:rPr>
      </w:pPr>
      <w:r>
        <w:rPr>
          <w:lang w:val="el" w:eastAsia="el"/>
        </w:rPr>
        <w:t>15. Το γεγονός ότι οι διατάξεις της παρούσας δεν αφορούν σε διοικητική διαδικασία για την οποία υπάρχει υποχρέωση καταχώρισης στο ΕΜΔΔ-ΜΙΤΟΣ.</w:t>
      </w:r>
    </w:p>
    <w:p>
      <w:pPr>
        <w:pStyle w:val="PreambelText"/>
        <w:spacing w:before="240" w:after="240"/>
        <w:rPr>
          <w:lang w:val="el" w:eastAsia="el"/>
        </w:rPr>
      </w:pPr>
      <w:r>
        <w:rPr>
          <w:lang w:val="el" w:eastAsia="el"/>
        </w:rPr>
        <w:t>16. Το γεγονός ότι από τις κανονιστικές διατάξεις της παρούσας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της παρούσας είναι ο καθορισμός της διαδικασίας χορήγησης των κινήτρων των άρθρων 28 και 30 του ν. 4982/2022 (Α’ 195) και των συνεπειών παραβίασης των όρων χορήγησης της απαλλαγής και η εξειδίκευση της κατάλληλης νομικής βάσης χορήγησης αυτών.</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ΠΛΑΙΣΙΟ ΚΡΑΤΙΚΩΝ ΕΝΙΣΧΥΣΕΩΝ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Νομική βάση χορήγησης κινήτρων</w:t>
      </w:r>
    </w:p>
    <w:p>
      <w:pPr>
        <w:spacing w:before="240" w:after="240"/>
        <w:rPr>
          <w:lang w:val="el" w:eastAsia="el"/>
        </w:rPr>
      </w:pPr>
      <w:r>
        <w:rPr>
          <w:lang w:val="el" w:eastAsia="el"/>
        </w:rPr>
        <w:t>Η χορήγηση των κινήτρων των άρθρων 28 και 30 του ν. 4982/2022 διέπεται από τον Κανονισμό (ΕΚ) 2023/2831 της Επιτροπής της 13ης Δεκεμβρίου 2023 (OJ EE L 15.12.2023), σχετικά με την εφαρμογή των άρθρων 107 και 108 της Συνθήκης για την λειτουργία της Ευρωπαϊκής Ένωσης στις ενισχύσεις ήσσονος σημασίας (εφεξής «Κανονισμός de minimis»).</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Όριο ενίσχυσης και σώρευση ενισχύσεων</w:t>
      </w:r>
    </w:p>
    <w:p>
      <w:pPr>
        <w:pStyle w:val="MainText"/>
        <w:spacing w:before="120" w:after="0"/>
        <w:rPr>
          <w:lang w:val="el" w:eastAsia="el"/>
        </w:rPr>
      </w:pPr>
      <w:r>
        <w:rPr>
          <w:b/>
          <w:bCs/>
          <w:lang w:val="el" w:eastAsia="el"/>
        </w:rPr>
        <w:t>1.</w:t>
      </w:r>
      <w:r>
        <w:rPr>
          <w:lang w:val="el" w:eastAsia="el"/>
        </w:rPr>
        <w:t xml:space="preserve"> Το ανώτατο ύψος ενίσχυσης που λαμβάνουν οι δικαιούχοι, κατ’ εφαρμογή της παρούσας απόφασης, με την μορφή απαλλαγής από φόρο ή άλλης επιβάρυνσης κατά τα αναφερόμενα στα επόμενα άρθρα, συνυπολογιζομένων τυχόν άλλων ενισχύσεων ήσσονος σημασίας που έχουν λάβει μέχρι την ημερομηνία χορήγησης της ενίσχυσης, ήτοι το επόμενο φορολογικό έτος από αυτό της πραγματοποίησης των δαπανών, σε επίπεδο ενιαίας επιχείρησης σύμφωνα με τον ορισμό της παρ. 2 του άρθρου 2 του Κανονισμού de minimis, δεν μπορεί να υπερβαίνει το ποσό των 300.000 ευρώ ανά ενιαία επιχείρηση σε οποιαδήποτε περίοδο τριών (3) ετών, υπολογιζόμενων σε κυλιόμενη ημερολογιακή βάση, όπως αυτό προβλέπεται από τον εκάστοτε ισχύοντα κανονισμό.</w:t>
      </w:r>
    </w:p>
    <w:p>
      <w:pPr>
        <w:pStyle w:val="MainText"/>
        <w:spacing w:before="120" w:after="0"/>
        <w:rPr>
          <w:lang w:val="el" w:eastAsia="el"/>
        </w:rPr>
      </w:pPr>
      <w:r>
        <w:rPr>
          <w:b/>
          <w:bCs/>
          <w:lang w:val="el" w:eastAsia="el"/>
        </w:rPr>
        <w:t>2.</w:t>
      </w:r>
      <w:r>
        <w:rPr>
          <w:lang w:val="el" w:eastAsia="el"/>
        </w:rPr>
        <w:t xml:space="preserve"> Μέχρι να συγκροτηθεί το κεντρικό μητρώο του άρθρου 6 του ΕΚ 2831/2023 και να καλυφθεί περίοδος 3 ετών, πριν την χορήγηση της ενίσχυσης δυνάμει της παρούσας, οι δυνητικοί δικαιούχοι των ενισχύσεων υποβάλλουν δήλωση, σε έγγραφη ή ηλεκτρονική μορφή, σύμφωνα με το παράρτημα της παρούσας, για οποιαδήποτε άλλη ενίσχυση ήσσονος σημασίας την οποία έλαβε η οικεία επιχείρηση σε επίπεδο ενιαίας επιχείρησης δυνάμει του ΕΚ 2831/2023 ή άλλων κανονισμών για ενισχύσεις ήσσονος σημασίας σε οποιαδήποτε περίοδο 3 ετών. Η αρμόδια αρχή για την χορήγηση της ενίσχυσης μεριμνά για την ενημέρωση του πληροφοριακού συστήματος ΠΣΣΕΗΣ, ώστε να ελέγχεται η τήρηση των ορίων ενισχύσεων ήσσονος σημασίας. Σε περίπτωση υπέρβασης του ανώτατου ορίου με τη χορήγηση της νέας ενίσχυσης ήσσονος σημασίας, η εν λόγω ενίσχυση δεν υπάγεται στο ευεργέτημα του Κανονισμού και δεν δύναται να χορηγηθεί.</w:t>
      </w:r>
    </w:p>
    <w:p>
      <w:pPr>
        <w:spacing w:before="240" w:after="240"/>
        <w:rPr>
          <w:lang w:val="el" w:eastAsia="el"/>
        </w:rPr>
      </w:pPr>
      <w:r>
        <w:rPr>
          <w:lang w:val="el" w:eastAsia="el"/>
        </w:rPr>
        <w:t>Οι ενισχυόμενες με την παρούσα δραστηριότητες, δεν εμπίπτουν στις εξαιρούμενες από το άρθρο 1 του Καν. ΕΕ 2831/2023. Εφόσον η δικαιούχος επιχείρηση ασκεί επιπλέον δραστηριότητες σε τομείς για τους οποίους ισχύουν διαφορετικά ανώτατα όρια ενίσχυσης σύμφωνα με τον Κανονισμό de minimis, ή δραστηριοποιείται σε μη επιλέξιμες δραστηριότητες από τον ΕΚ 2831/2023, τότε θα πρέπει να διασφαλίζεται με κατάλληλα μέσα όπως ο λογιστικός διαχωρισμός των δραστηριοτήτων ή η διάκριση των στοιχείων του κόστους, ότι δεν ενισχύεται μη επιλέξιμη δραστηριότητα ή ότι τηρείται το αντίστοιχο ανώτατο όριο για κάθε δραστηριότητα, αντιστοίχως.</w:t>
      </w:r>
    </w:p>
    <w:p>
      <w:pPr>
        <w:pStyle w:val="MainText"/>
        <w:spacing w:before="120" w:after="0"/>
        <w:rPr>
          <w:lang w:val="el" w:eastAsia="el"/>
        </w:rPr>
      </w:pPr>
      <w:r>
        <w:rPr>
          <w:b/>
          <w:bCs/>
          <w:lang w:val="el" w:eastAsia="el"/>
        </w:rPr>
        <w:t>3.</w:t>
      </w:r>
      <w:r>
        <w:rPr>
          <w:lang w:val="el" w:eastAsia="el"/>
        </w:rPr>
        <w:t xml:space="preserve"> Απαγορεύεται ρητά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ΟΡΟΙ, ΠΡΟΫΠΟΘΕΣΕΙΣ ΚΑΙ ΔΙΑΔΙΚΑΣΙΑ ΧΟΡΗΓΗΣΗΣ ΚΙΝΗΤΡΩΝ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Απαλλαγή από τον φόρο μεταβίβασης ακινήτων και δωρεάς</w:t>
      </w:r>
    </w:p>
    <w:p>
      <w:pPr>
        <w:pStyle w:val="MainText"/>
        <w:spacing w:before="120" w:after="0"/>
        <w:rPr>
          <w:lang w:val="el" w:eastAsia="el"/>
        </w:rPr>
      </w:pPr>
      <w:r>
        <w:rPr>
          <w:b/>
          <w:bCs/>
          <w:lang w:val="el" w:eastAsia="el"/>
        </w:rPr>
        <w:t>1.</w:t>
      </w:r>
      <w:r>
        <w:rPr>
          <w:lang w:val="el" w:eastAsia="el"/>
        </w:rPr>
        <w:t xml:space="preserve"> Δικαιούχοι της απαλλαγής είναι οι επιχειρήσεις που έχουν εγκατασταθεί, πρόκειται να εγκατασταθούν ή να μετεγκατασταθούν εντός του Επιχειρηματικού Πάρκου (Ε.Π.) κατά την έννοια της παρ. 7 του άρθρου 17 του ν. 3982/2011, και ασκούν ή πρόκειται να ασκήσουν επιχειρηματική δραστηριότητα της παρ. 1 του άρθρου 5 του ν. 4982/2022, καθώς και η Ε.Α.Δ.Ε.Π.</w:t>
      </w:r>
    </w:p>
    <w:p>
      <w:pPr>
        <w:pStyle w:val="MainText"/>
        <w:spacing w:before="120" w:after="0"/>
        <w:rPr>
          <w:lang w:val="el" w:eastAsia="el"/>
        </w:rPr>
      </w:pPr>
      <w:r>
        <w:rPr>
          <w:b/>
          <w:bCs/>
          <w:lang w:val="el" w:eastAsia="el"/>
        </w:rPr>
        <w:t>2.</w:t>
      </w:r>
      <w:r>
        <w:rPr>
          <w:lang w:val="el" w:eastAsia="el"/>
        </w:rPr>
        <w:t xml:space="preserve"> Αντικείμενο της απαλλαγής είναι κάθε σύμβαση αγοραπωλησίας, δωρεάς έκτασης μετά των κτισμάτων που έχουν τυχόν ανεγερθεί επ’ αυτής, κατά πλήρη κυριότητα ή κατ’ επικαρπία, σύστασης δικαιώματος επιφανείας, αναγκαστικής απαλλοτρίωσης, εισφοράς ακινήτων προς την Ε.Α.Δ.Ε.Π. για τον σκοπό της διασφάλισης έκτασης, από την Ε.Α.Δ.Ε.Π. ή από και προς επιχείρηση που έχει εγκατασταθεί, πρόκειται να εγκατασταθεί ή να μετεγκατασταθεί εντός του Ε.Π.. Δεν δύναται να αποτελέσουν αντικείμενο απαλλαγής συμβάσεις αγοραπωλησίας ακινήτων που εμπίπτουν στις διατάξεις του ν. 5144/2024 (Α’ 162) Κώδικας ΦΠΑ.</w:t>
      </w:r>
    </w:p>
    <w:p>
      <w:pPr>
        <w:pStyle w:val="MainText"/>
        <w:spacing w:before="120" w:after="0"/>
        <w:rPr>
          <w:lang w:val="el" w:eastAsia="el"/>
        </w:rPr>
      </w:pPr>
      <w:r>
        <w:rPr>
          <w:b/>
          <w:bCs/>
          <w:lang w:val="el" w:eastAsia="el"/>
        </w:rPr>
        <w:t>3.</w:t>
      </w:r>
      <w:r>
        <w:rPr>
          <w:lang w:val="el" w:eastAsia="el"/>
        </w:rPr>
        <w:t xml:space="preserve"> Προϋπόθεση χορήγησης της απαλλαγής αποτελεί η μη περαιτέρω μεταβίβαση με οποιαδήποτε αιτία σε τρίτο ή η σύσταση δικαιώματος επικαρπίας υπέρ τρίτου επί της αποκτώμενης έκτασης, ή η παραχώρηση της χρήσης ή η εκμίσθωση αυτής, για πέντε (5) έτη από την ημερομηνία υπογραφής της σύμβασης.</w:t>
      </w:r>
    </w:p>
    <w:p>
      <w:pPr>
        <w:pStyle w:val="MainText"/>
        <w:spacing w:before="120" w:after="0"/>
        <w:rPr>
          <w:lang w:val="el" w:eastAsia="el"/>
        </w:rPr>
      </w:pPr>
      <w:r>
        <w:rPr>
          <w:b/>
          <w:bCs/>
          <w:lang w:val="el" w:eastAsia="el"/>
        </w:rPr>
        <w:t>4.</w:t>
      </w:r>
      <w:r>
        <w:rPr>
          <w:lang w:val="el" w:eastAsia="el"/>
        </w:rPr>
        <w:t xml:space="preserve"> Για τη χορήγηση της απαλλαγής, μαζί με την υποβαλλόμενη δήλωση φόρου μεταβίβασης ή δωρεάς, κατά περίπτωση συνυποβάλλονται στην αρμόδια υπηρεσία της Φορολογικής Διοίκησης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με επ’ αυτού δήλωση από ιδιώτη μηχανικό κατ’ αναλογική εφαρμογή των διατάξεων του ν. 651/1977 και ν. 1337/1983 ότι η αποκτώμενη έκταση βρίσκεται μέσα σε Ε.Π. και</w:t>
      </w:r>
    </w:p>
    <w:p>
      <w:pPr>
        <w:pStyle w:val="StructureList1"/>
        <w:spacing w:before="120" w:after="0"/>
        <w:rPr>
          <w:lang w:val="el" w:eastAsia="el"/>
        </w:rPr>
      </w:pPr>
      <w:r>
        <w:rPr>
          <w:lang w:val="el" w:eastAsia="el"/>
        </w:rPr>
        <w:t>β)</w:t>
      </w:r>
      <w:r>
        <w:rPr>
          <w:lang w:val="en" w:eastAsia="en"/>
        </w:rPr>
        <w:tab/>
      </w:r>
      <w:r>
        <w:rPr>
          <w:lang w:val="el" w:eastAsia="el"/>
        </w:rPr>
        <w:t>υπεύθυνη δήλωση του δικαιούχου της απαλλαγής ότι δε θα μεταβιβάσει με οποιαδήποτε αιτία ούτε θα συστήσει δικαίωμα επικαρπίας επί της αποκτώμενης έκτασης, ούτε θα παραχωρήσει τη χρήση αυτής σε τρίτο, ούτε θα την εκμισθώσει, πριν την παρέλευση πενταετίας από την ημερομηνία υπογραφής της σύμβασης,</w:t>
      </w:r>
    </w:p>
    <w:p>
      <w:pPr>
        <w:pStyle w:val="StructureList1"/>
        <w:spacing w:before="120" w:after="0"/>
        <w:rPr>
          <w:lang w:val="el" w:eastAsia="el"/>
        </w:rPr>
      </w:pPr>
      <w:r>
        <w:rPr>
          <w:lang w:val="el" w:eastAsia="el"/>
        </w:rPr>
        <w:t>γ)</w:t>
      </w:r>
      <w:r>
        <w:rPr>
          <w:lang w:val="en" w:eastAsia="en"/>
        </w:rPr>
        <w:tab/>
      </w:r>
      <w:r>
        <w:rPr>
          <w:lang w:val="el" w:eastAsia="el"/>
        </w:rPr>
        <w:t>υπεύθυνη δήλωση του δικαιούχου της απαλλαγής του Παραρτήματος της παρούσας, σχετικά με τυχόν άλλες ενισχύσεις ήσσονος σημασίας τις οποίες έχει λάβει σε επίπεδο ενιαίας επιχείρησης, βάσει του Κανονισμού de minimis (ΕΕ 2023/2831) ή άλλων κανονισμών για ενισχύσεις ήσσονος σημασίας κατά τα προηγούμενα τρία έτη σε κυλιόμενη ημερολογιακή βάση, σε επίπεδο ενιαίας επιχείρησης, με την επιφύλαξη της παρ. 4 του άρθρου 7 του Κανονισμού de minimis (ΕΕ 2023/2831).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Απαλλαγή από τον φόρο εισοδήματος</w:t>
      </w:r>
    </w:p>
    <w:p>
      <w:pPr>
        <w:pStyle w:val="MainText"/>
        <w:spacing w:before="120" w:after="0"/>
        <w:rPr>
          <w:lang w:val="el" w:eastAsia="el"/>
        </w:rPr>
      </w:pPr>
      <w:r>
        <w:rPr>
          <w:b/>
          <w:bCs/>
          <w:lang w:val="el" w:eastAsia="el"/>
        </w:rPr>
        <w:t>1.</w:t>
      </w:r>
      <w:r>
        <w:rPr>
          <w:lang w:val="el" w:eastAsia="el"/>
        </w:rPr>
        <w:t xml:space="preserve"> Δικαιούχοι απαλλαγής του παρόντος είναι επιχειρήσεις που ασκούν επιχειρηματική δραστηριότητα της παρ. 1 του άρθρου 5 του ν. 4982/2022, οι οποίες μετεγκαθιστούν την επιχειρηματική τους δραστηριότητα σε Ε.Π., ανεξάρτητα από τη νομική μορφή με την οποία λειτουργούν.</w:t>
      </w:r>
    </w:p>
    <w:p>
      <w:pPr>
        <w:pStyle w:val="MainText"/>
        <w:spacing w:before="120" w:after="0"/>
        <w:rPr>
          <w:lang w:val="el" w:eastAsia="el"/>
        </w:rPr>
      </w:pPr>
      <w:r>
        <w:rPr>
          <w:b/>
          <w:bCs/>
          <w:lang w:val="el" w:eastAsia="el"/>
        </w:rPr>
        <w:t>2.</w:t>
      </w:r>
      <w:r>
        <w:rPr>
          <w:lang w:val="el" w:eastAsia="el"/>
        </w:rPr>
        <w:t xml:space="preserve"> Η υπεραξία που προκύπτει από την εκποίηση ακινήτων και λοιπών εγκαταστάσεων των επιχειρήσεων της προηγούμενης παραγράφου, οι οποίες μετεγκαθίστανται στις παραπάνω περιοχές, απαλλάσσεται από το φόρο εισοδήματος κατά το μέρος που αντιστοιχεί στο κόστος μετεγκατάστασής τους. Στο κόστος μετεγκατάστασης δεν περιλαμβάνεται το κόστος αγοράς νέων πάγιων στοιχείων. Η απαλλαγή αυτή χορηγείται με την προϋπόθεση ότι το ποσό της προκύπτουσας υπεραξίας θα εμφανισθεί σε ιδιαίτερο λογαριασμό αφορολόγητου αποθεματικού, εφόσον η επιχείρηση τηρεί διπλογραφικό λογιστικό σύστημα με βάση τα Ελληνικά Λογιστικά Πρότυπα (ΕΛΠ - ν. 4308/2014) και ανεξάρτητα από τη νομική μορφή της. Για τις επιχειρήσεις που τηρούν απλογραφικό λογιστικό σύστημα, το απαλλασσόμενο ποσό αφαιρείται από τα καθαρά κέρδη προκειμένου για τον προσδιορισμό των φορολογητέων κερδών τους.</w:t>
      </w:r>
    </w:p>
    <w:p>
      <w:pPr>
        <w:pStyle w:val="MainText"/>
        <w:spacing w:before="120" w:after="0"/>
        <w:rPr>
          <w:lang w:val="el" w:eastAsia="el"/>
        </w:rPr>
      </w:pPr>
      <w:r>
        <w:rPr>
          <w:b/>
          <w:bCs/>
          <w:lang w:val="el" w:eastAsia="el"/>
        </w:rPr>
        <w:t>3.</w:t>
      </w:r>
      <w:r>
        <w:rPr>
          <w:lang w:val="el" w:eastAsia="el"/>
        </w:rPr>
        <w:t xml:space="preserve"> Σε περίπτωση διανομής ή κεφαλαιοποίησης του πιο πάνω αποθεματικού αυτό υπόκειται σε φορολογία με βάση τις διατάξεις της παρ. 1 του άρθρου 47 του ίδιου νόμου.</w:t>
      </w:r>
    </w:p>
    <w:p>
      <w:pPr>
        <w:pStyle w:val="MainText"/>
        <w:spacing w:before="120" w:after="0"/>
        <w:rPr>
          <w:lang w:val="el" w:eastAsia="el"/>
        </w:rPr>
      </w:pPr>
      <w:r>
        <w:rPr>
          <w:b/>
          <w:bCs/>
          <w:lang w:val="el" w:eastAsia="el"/>
        </w:rPr>
        <w:t>4.</w:t>
      </w:r>
      <w:r>
        <w:rPr>
          <w:lang w:val="el" w:eastAsia="el"/>
        </w:rPr>
        <w:t xml:space="preserve"> Σε περίπτωση που η επιχείρηση παύει τη δραστηριότητά της εντός του Επιχειρηματικού Πάρκου πριν την πάροδο πέντε (5) ετών από τη μετεγκατάστασή της, το αφορολόγητο αποθεματικό φορολογείται με βάση τις διατάξεις της παρ. 1 του άρθρου 47 του ίδιου νόμου, στη χρήση εντός της οποίας έπαυσε η επιχείρηση τις δραστηριότητές της.</w:t>
      </w:r>
    </w:p>
    <w:p>
      <w:pPr>
        <w:pStyle w:val="MainText"/>
        <w:spacing w:before="120" w:after="0"/>
        <w:rPr>
          <w:lang w:val="el" w:eastAsia="el"/>
        </w:rPr>
      </w:pPr>
      <w:r>
        <w:rPr>
          <w:b/>
          <w:bCs/>
          <w:lang w:val="el" w:eastAsia="el"/>
        </w:rPr>
        <w:t>5.</w:t>
      </w:r>
      <w:r>
        <w:rPr>
          <w:lang w:val="el" w:eastAsia="el"/>
        </w:rPr>
        <w:t xml:space="preserve"> Η επιχείρηση συνυποβάλλει εμπρόθεσμα στην ΑΑΔΕ με την ετήσια δήλωση φορολογίας εισοδήματος και υπεύθυνη δήλωση του Παραρτήματος της παρούσας, σχετικά με τυχόν άλλες ενισχύσεις ήσσονος σημασίας τις οποίες έχει λάβει σε επίπεδο ενιαίας επιχείρησης, βάσει του Κανονισμού de minimis ή άλλων κανονισμών για ενισχύσεις ήσσονος σημασίας κατά τα προηγούμενα τρία έτη σε κυλιόμενη ημερολογιακή βάση, σε επίπεδο ενιαίας επιχείρησης, με την επιφύλαξη της παρ. 4 του άρθρου 7 του Κανονισμού de minimis.</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Επιλέξιμες δαπάνες προς επιχορήγηση</w:t>
      </w:r>
    </w:p>
    <w:p>
      <w:pPr>
        <w:pStyle w:val="MainText"/>
        <w:spacing w:before="120" w:after="0"/>
        <w:rPr>
          <w:lang w:val="el" w:eastAsia="el"/>
        </w:rPr>
      </w:pPr>
      <w:r>
        <w:rPr>
          <w:b/>
          <w:bCs/>
          <w:lang w:val="el" w:eastAsia="el"/>
        </w:rPr>
        <w:t>1.</w:t>
      </w:r>
      <w:r>
        <w:rPr>
          <w:lang w:val="el" w:eastAsia="el"/>
        </w:rPr>
        <w:t xml:space="preserve"> Για τις Ε.Α.Δ.Ε.Π, ο Φόρος Προστιθέμενης Αξίας (Φ.Π.Α.) αποτελεί επιλέξιμη δαπάνη προς επιχορήγηση, αν δεν ασκούν δραστηριότητα μέσω της οποίας μπορούν να τον συμψηφίσουν.</w:t>
      </w:r>
    </w:p>
    <w:p>
      <w:pPr>
        <w:pStyle w:val="MainText"/>
        <w:spacing w:before="120" w:after="0"/>
        <w:rPr>
          <w:lang w:val="el" w:eastAsia="el"/>
        </w:rPr>
      </w:pPr>
      <w:r>
        <w:rPr>
          <w:b/>
          <w:bCs/>
          <w:lang w:val="el" w:eastAsia="el"/>
        </w:rPr>
        <w:t>2.</w:t>
      </w:r>
      <w:r>
        <w:rPr>
          <w:lang w:val="el" w:eastAsia="el"/>
        </w:rPr>
        <w:t xml:space="preserve"> Για τις δραστηριότητες που είναι εγκατεστημένες σε περιοχή, όπου σύμφωνα με τις πολεοδομικές διατάξεις έχει επέλθει μεταβολή της χρήσης γης ή, για οποιονδήποτε λόγο, επιβάλλεται η απομάκρυνσή τους, οι δαπάνες μετεγκατάστασης αυτών σε Ε.Π. δύναται να καταστούν επιλέξιμες στη βάση αναπτυξιακών προγραμμάτων, με εθνικούς ή συγχρηματοδοτούμενους πόρους του Προγράμματος Δημοσίων Επενδύσεων τηρουμένων των σχετικών προϋποθέσεων κρατικών ενισχύσεων. Στις δαπάνες αυτές περιλαμβάνονται το κόστος ανέγερσης νέου κτιρίου, κτιριακού εκσυγχρονισμού υφιστάμενου κτιρίου, εγκατάστασης στο νέο κτίριο, αντικατάστασης του μηχανολογικού εξοπλισμού λόγω βλάβης που οφείλεται στη μετεγκατάσταση και το κόστος αποσυναρμολόγησης και συναρμολόγησης αυτού.</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Εκπιπτόμενες επιχειρηματικές δαπάνες</w:t>
      </w:r>
    </w:p>
    <w:p>
      <w:pPr>
        <w:spacing w:before="240" w:after="240"/>
        <w:rPr>
          <w:lang w:val="el" w:eastAsia="el"/>
        </w:rPr>
      </w:pPr>
      <w:r>
        <w:rPr>
          <w:lang w:val="el" w:eastAsia="el"/>
        </w:rPr>
        <w:t>Το ποσό της εισφοράς σε χρήμα, με το οποίο συμμετέχει έκαστος ιδιοκτήτης πλην της Ε.Α.Δ.Ε.Π., στις δαπάνες για τη δημιουργία κοινόχρηστων χώρων και έργων υποδομής, αποτελεί παραγωγική δαπάνη κατά τα οριζόμενα στην περ. α’ του άρθρου 22 του ν. 4172/2013 και εντάσσεται στις εκπιπτόμενες επιχειρηματικές δαπάνες, εφόσον πληρούνται και οι προϋποθέσεις β’ και γ’ του ιδίου άρθρου.</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ΣΥΝΕΠΕΙΕΣ ΜΗ ΤΗΡΗΣΗΣ ΤΩΝ</w:t>
      </w:r>
    </w:p>
    <w:p>
      <w:pPr>
        <w:spacing w:before="240" w:after="240"/>
        <w:rPr>
          <w:lang w:val="el" w:eastAsia="el"/>
        </w:rPr>
      </w:pPr>
      <w:r>
        <w:rPr>
          <w:lang w:val="el" w:eastAsia="el"/>
        </w:rPr>
        <w:t>ΠΡΟΫΠΟΘΕΣΕΩΝ ΧΟΡΗΓΗΣΗΣ ΚΙΝΗΤΡΩΝ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Συνέπειες παραβίασης των όρων χορήγησης απαλλαγής</w:t>
      </w:r>
    </w:p>
    <w:p>
      <w:pPr>
        <w:spacing w:before="240" w:after="240"/>
        <w:rPr>
          <w:lang w:val="el" w:eastAsia="el"/>
        </w:rPr>
      </w:pPr>
      <w:r>
        <w:rPr>
          <w:lang w:val="el" w:eastAsia="el"/>
        </w:rPr>
        <w:t>Σε περίπτωση μη τήρησης των προϋποθέσεων χορήγησης των απαλλαγών της παρούσας, αίρεται η χορηγηθείσα φορολογική απαλλαγή και ο δικαιούχος υποχρεούται σε καταβολή εφάπαξ του ποσού που ωφελήθηκε κατά περίπτωση.</w:t>
      </w:r>
    </w:p>
    <w:p>
      <w:pPr>
        <w:spacing w:before="240" w:after="240"/>
        <w:rPr>
          <w:lang w:val="el" w:eastAsia="el"/>
        </w:rPr>
      </w:pPr>
      <w:r>
        <w:rPr>
          <w:lang w:val="el" w:eastAsia="el"/>
        </w:rPr>
        <w:t>Σε περίπτωση μη τήρησης των προϋποθέσεων του άρθρου 4 της παρούσας, αίρεται η χορηγηθείσα απαλλαγή από τον φόρο μεταβίβασης ακινήτων και ο δικαιούχος υποχρεούται, πριν από τη μεταβίβαση ή τη σύσταση δικαιώματος επικαρπίας επί της αποκτώμενης έκτασης ή πριν από την παραχώρηση της χρήσης ή την εκμίσθωση αυτής, σε υποβολή δήλωσης και καταβολή του φόρου μεταβίβασης ή δωρεάς που αναλογεί στην αξία του ακινήτου. Ο φόρος υπολογίζεται με βάση την αξία του ακινήτου κατά το χρόνο άρσης της απαλλαγής ή το δηλούμενο τίμημα της νέας μεταβίβασης ή της σύστασης δικαιώματος επικαρπίας, εφόσον αυτό είναι μεγαλύτερο της αντικειμενικής αξίας, με εφαρμογή των συντελεστών που ίσχυαν κατά το χρόνο χορήγησης της απαλλαγής, εκτός αν ο φόρος που αναλογεί στην αξία του ακινήτου του χρόνου χορήγησης της απαλλαγής είναι μεγαλύτερος, οπότε καταβάλλεται ο μεγαλύτερος αυτός φόρος.</w:t>
      </w:r>
    </w:p>
    <w:p>
      <w:pPr>
        <w:spacing w:before="240" w:after="240"/>
        <w:rPr>
          <w:lang w:val="el" w:eastAsia="el"/>
        </w:rPr>
      </w:pPr>
      <w:r>
        <w:rPr>
          <w:lang w:val="el" w:eastAsia="el"/>
        </w:rPr>
        <w:t>Σε κάθε περίπτωση παραβίασης όρων χορήγησης απαλλαγής το πλεονέκτημα ανακτάται εντόκως με το ισχύον επιτόκιο ανάκτησης της Ε.Ε.</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ΤΕΛΙΚΕΣ ΔΙΑΤΑΞΕΙΣ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Καταργούμενες - Μεταβατικές διατάξεις</w:t>
      </w:r>
    </w:p>
    <w:p>
      <w:pPr>
        <w:spacing w:before="240" w:after="240"/>
        <w:rPr>
          <w:lang w:val="el" w:eastAsia="el"/>
        </w:rPr>
      </w:pPr>
      <w:r>
        <w:rPr>
          <w:lang w:val="el" w:eastAsia="el"/>
        </w:rPr>
        <w:t>Από την έναρξη ισχύος της παρούσας καταργείται η υπό στοιχεία ΠΟΛ 1092/2012 (Β’ 1131) κοινή απόφαση των Αναπληρωτών Υπουργών Οικονομικών και Ανάπτυξης, Ανταγωνιστικότητας και Ναυτιλίας, ως προς τις προϋποθέσεις και τη διαδικασία χορήγησης των κινήτρων και τις συνέπειες παραβίασης των όρων χορήγησής τους.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ΥΠΟΔΕΙΓΜΑ ΥΠΕΥΘΥΝΗΣ ΔΗΛΩΣΗΣ</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MINIMIS)ΒΑΣΕΙ ΤΟΥ ΚΑΝΟΝΙΣΜΟΥ (EE) 2023/2831</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8"/>
        <w:gridCol w:w="193"/>
        <w:gridCol w:w="246"/>
        <w:gridCol w:w="68"/>
        <w:gridCol w:w="4057"/>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r>
        <w:rPr>
          <w:sz w:val="30"/>
          <w:szCs w:val="30"/>
          <w:vertAlign w:val="superscript"/>
          <w:lang w:val="el" w:eastAsia="el"/>
        </w:rPr>
        <w:t>4</w:t>
      </w:r>
      <w:r>
        <w:rPr>
          <w:lang w:val="el" w:eastAsia="el"/>
        </w:rPr>
        <w:t>):</w:t>
      </w:r>
    </w:p>
    <w:p>
      <w:pPr>
        <w:spacing w:before="240" w:after="240"/>
        <w:rPr>
          <w:lang w:val="el" w:eastAsia="el"/>
        </w:rPr>
      </w:pPr>
      <w:r>
        <w:rPr>
          <w:b/>
          <w:bCs/>
          <w:lang w:val="el" w:eastAsia="el"/>
        </w:rPr>
        <w:t xml:space="preserve">Α. </w:t>
      </w:r>
      <w:r>
        <w:rPr>
          <w:lang w:val="el" w:eastAsia="el"/>
        </w:rPr>
        <w:t>Η επιχείρηση ………………….………………………...……………………………………………………………… με ΑΦΜ …..……………..……, την οποία νομίμως εκπροσωπώ</w:t>
      </w:r>
    </w:p>
    <w:p>
      <w:pPr>
        <w:pStyle w:val="MainText"/>
        <w:spacing w:before="120" w:after="0"/>
        <w:rPr>
          <w:lang w:val="el" w:eastAsia="el"/>
        </w:rPr>
      </w:pPr>
      <w:r>
        <w:rPr>
          <w:b/>
          <w:bCs/>
          <w:lang w:val="el" w:eastAsia="el"/>
        </w:rPr>
        <w:t>1.</w:t>
      </w:r>
      <w:r>
        <w:rPr>
          <w:lang w:val="el" w:eastAsia="el"/>
        </w:rPr>
        <w:t xml:space="preserve"> i) Συνιστά «ενιαία επιχείρηση» </w:t>
      </w:r>
      <w:r>
        <w:rPr>
          <w:sz w:val="30"/>
          <w:szCs w:val="30"/>
          <w:vertAlign w:val="superscript"/>
          <w:lang w:val="el" w:eastAsia="el"/>
        </w:rPr>
        <w:t>(5)</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ii)</w:t>
      </w:r>
      <w:r>
        <w:rPr>
          <w:lang w:val="en" w:eastAsia="en"/>
        </w:rPr>
        <w:tab/>
      </w:r>
      <w:r>
        <w:rPr>
          <w:lang w:val="el" w:eastAsia="el"/>
        </w:rPr>
        <w:t>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w:t>
      </w:r>
      <w:r>
        <w:rPr>
          <w:sz w:val="30"/>
          <w:szCs w:val="30"/>
          <w:vertAlign w:val="superscript"/>
          <w:lang w:val="el" w:eastAsia="el"/>
        </w:rPr>
        <w:t>(6)</w:t>
      </w:r>
      <w:r>
        <w:rPr>
          <w:lang w:val="el" w:eastAsia="el"/>
        </w:rPr>
        <w:t xml:space="preserve"> στην ως άνω επιχείρηση</w:t>
      </w:r>
      <w:r>
        <w:rPr>
          <w:sz w:val="30"/>
          <w:szCs w:val="30"/>
          <w:vertAlign w:val="superscript"/>
          <w:lang w:val="el" w:eastAsia="el"/>
        </w:rPr>
        <w:t>(7),(8)</w:t>
      </w:r>
      <w:r>
        <w:rPr>
          <w:lang w:val="el" w:eastAsia="el"/>
        </w:rPr>
        <w:t>, βάσει της ΚΥΑ …………………………………………………… , δεν αφορά μη επιλέξιμεςς δραστηριότητες της επιχείρησης που εμπίπτουν στις εξαιρέσεις του άρθρου 1 του Καν. ΕΕ 2831/2023</w:t>
      </w:r>
    </w:p>
    <w:p>
      <w:pPr>
        <w:spacing w:before="240" w:after="240"/>
        <w:rPr>
          <w:lang w:val="el" w:eastAsia="el"/>
        </w:rPr>
      </w:pPr>
      <w:r>
        <w:rPr>
          <w:b/>
          <w:bCs/>
          <w:lang w:val="el" w:eastAsia="el"/>
        </w:rPr>
        <w:t xml:space="preserve">Γ. </w:t>
      </w:r>
      <w:r>
        <w:rPr>
          <w:lang w:val="el" w:eastAsia="el"/>
        </w:rPr>
        <w:t>Στην επιχείρηση, συμπεριλαμβανομένων και των επιχειρήσεων που συνιστούν με αυτήν «ενιαία επιχείρηση», έχουν χορηγηθεί, την προηγούμενη τριετία σε κυλιόμενη ημερολογιακή βάση ,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w:t>
            </w:r>
          </w:p>
          <w:p>
            <w:pPr>
              <w:spacing w:before="240"/>
              <w:rPr>
                <w:b w:val="0"/>
                <w:bCs w:val="0"/>
                <w:i w:val="0"/>
                <w:iCs w:val="0"/>
                <w:smallCaps w:val="0"/>
                <w:color w:val="000000"/>
                <w:lang w:val="el" w:eastAsia="el"/>
              </w:rPr>
            </w:pPr>
            <w:r>
              <w:rPr>
                <w:b/>
                <w:bCs/>
                <w:i w:val="0"/>
                <w:iCs w:val="0"/>
                <w:smallCaps w:val="0"/>
                <w:color w:val="000000"/>
                <w:lang w:val="el" w:eastAsia="el"/>
              </w:rPr>
              <w:t>(αφορά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ΟΝΟΜΑΣΙΑ</w:t>
            </w:r>
          </w:p>
          <w:p>
            <w:pPr>
              <w:spacing w:before="240" w:after="240"/>
              <w:rPr>
                <w:b w:val="0"/>
                <w:bCs w:val="0"/>
                <w:i w:val="0"/>
                <w:iCs w:val="0"/>
                <w:smallCaps w:val="0"/>
                <w:color w:val="000000"/>
                <w:lang w:val="el" w:eastAsia="el"/>
              </w:rPr>
            </w:pPr>
            <w:r>
              <w:rPr>
                <w:b/>
                <w:bCs/>
                <w:i w:val="0"/>
                <w:iCs w:val="0"/>
                <w:smallCaps w:val="0"/>
                <w:color w:val="000000"/>
                <w:lang w:val="el" w:eastAsia="el"/>
              </w:rPr>
              <w:t>ΠΡΟΓΡΑΜΜΑΤΟΣ &amp;</w:t>
            </w:r>
          </w:p>
          <w:p>
            <w:pPr>
              <w:spacing w:before="240" w:after="240"/>
              <w:rPr>
                <w:b w:val="0"/>
                <w:bCs w:val="0"/>
                <w:i w:val="0"/>
                <w:iCs w:val="0"/>
                <w:smallCaps w:val="0"/>
                <w:color w:val="000000"/>
                <w:lang w:val="el" w:eastAsia="el"/>
              </w:rPr>
            </w:pPr>
            <w:r>
              <w:rPr>
                <w:b/>
                <w:bCs/>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bCs/>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 ΠΡΩΤ.</w:t>
            </w:r>
          </w:p>
          <w:p>
            <w:pPr>
              <w:spacing w:before="240"/>
              <w:rPr>
                <w:b w:val="0"/>
                <w:bCs w:val="0"/>
                <w:i w:val="0"/>
                <w:iCs w:val="0"/>
                <w:smallCaps w:val="0"/>
                <w:color w:val="000000"/>
                <w:lang w:val="el" w:eastAsia="el"/>
              </w:rPr>
            </w:pPr>
            <w:r>
              <w:rPr>
                <w:b/>
                <w:bCs/>
                <w:i w:val="0"/>
                <w:iCs w:val="0"/>
                <w:smallCaps w:val="0"/>
                <w:color w:val="000000"/>
                <w:lang w:val="el" w:eastAsia="el"/>
              </w:rPr>
              <w:t>&amp;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bCs/>
                <w:i w:val="0"/>
                <w:iCs w:val="0"/>
                <w:smallCaps w:val="0"/>
                <w:color w:val="000000"/>
                <w:lang w:val="el" w:eastAsia="el"/>
              </w:rPr>
              <w:t>ΠΟΣΟ</w:t>
            </w:r>
          </w:p>
          <w:p>
            <w:pPr>
              <w:spacing w:before="240"/>
              <w:rPr>
                <w:b w:val="0"/>
                <w:bCs w:val="0"/>
                <w:i w:val="0"/>
                <w:iCs w:val="0"/>
                <w:smallCaps w:val="0"/>
                <w:color w:val="000000"/>
                <w:lang w:val="el" w:eastAsia="el"/>
              </w:rPr>
            </w:pPr>
            <w:r>
              <w:rPr>
                <w:b/>
                <w:bCs/>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val="0"/>
                <w:iCs w:val="0"/>
                <w:smallCaps w:val="0"/>
                <w:color w:val="000000"/>
                <w:lang w:val="el" w:eastAsia="el"/>
              </w:rPr>
              <w:t>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&amp;</w:t>
            </w:r>
          </w:p>
          <w:p>
            <w:pPr>
              <w:spacing w:before="240"/>
              <w:rPr>
                <w:b w:val="0"/>
                <w:bCs w:val="0"/>
                <w:i w:val="0"/>
                <w:iCs w:val="0"/>
                <w:smallCaps w:val="0"/>
                <w:color w:val="000000"/>
                <w:lang w:val="el" w:eastAsia="el"/>
              </w:rPr>
            </w:pPr>
            <w:r>
              <w:rPr>
                <w:b/>
                <w:bCs/>
                <w:i w:val="0"/>
                <w:iCs w:val="0"/>
                <w:smallCaps w:val="0"/>
                <w:color w:val="000000"/>
                <w:lang w:val="el" w:eastAsia="el"/>
              </w:rPr>
              <w:t>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w:t>
            </w:r>
          </w:p>
          <w:p>
            <w:pPr>
              <w:spacing w:before="240" w:after="240"/>
              <w:rPr>
                <w:b w:val="0"/>
                <w:bCs w:val="0"/>
                <w:i w:val="0"/>
                <w:iCs w:val="0"/>
                <w:smallCaps w:val="0"/>
                <w:color w:val="000000"/>
                <w:lang w:val="el" w:eastAsia="el"/>
              </w:rPr>
            </w:pPr>
            <w:r>
              <w:rPr>
                <w:b/>
                <w:bCs/>
                <w:i w:val="0"/>
                <w:iCs w:val="0"/>
                <w:smallCaps w:val="0"/>
                <w:color w:val="000000"/>
                <w:lang w:val="el" w:eastAsia="el"/>
              </w:rPr>
              <w:t>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b/>
          <w:bCs/>
          <w:lang w:val="el" w:eastAsia="el"/>
        </w:rPr>
        <w:t xml:space="preserve">Δ.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σε οποιαδήποτε περίοδο τριών ετών, δεν υπερβαίνει το ανώτατο όριο που καθορίζεται στο άρθρο 3 του Κανονισμού 2831/2023.</w:t>
      </w:r>
    </w:p>
    <w:p>
      <w:pPr>
        <w:spacing w:before="240" w:after="240"/>
        <w:rPr>
          <w:lang w:val="el" w:eastAsia="el"/>
        </w:rPr>
      </w:pPr>
      <w:r>
        <w:rPr>
          <w:lang w:val="el" w:eastAsia="el"/>
        </w:rPr>
        <w:t>Ημερομηνία: ……/……/</w:t>
      </w:r>
    </w:p>
    <w:p>
      <w:pPr>
        <w:spacing w:before="240" w:after="240"/>
        <w:rPr>
          <w:lang w:val="el" w:eastAsia="el"/>
        </w:rPr>
      </w:pPr>
      <w:r>
        <w:rPr>
          <w:lang w:val="el" w:eastAsia="el"/>
        </w:rPr>
        <w:t>Ο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Ιουνίου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 Υφυπουργός Ανάπτυξης</w:t>
      </w:r>
    </w:p>
    <w:p>
      <w:pPr>
        <w:spacing w:before="240" w:after="240"/>
        <w:rPr>
          <w:lang w:val="el" w:eastAsia="el"/>
        </w:rPr>
      </w:pPr>
      <w:r>
        <w:rPr>
          <w:b/>
          <w:bCs/>
          <w:lang w:val="el" w:eastAsia="el"/>
        </w:rPr>
        <w:t>ΚΥΡΙΑΚΟΣ ΠΙΕΡΡΑΚΑΚΗΣ ΛΑΖΑΡΟΣ ΤΣΑΒΔΑΡΙΔΗΣ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