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18/06/2025</w:t>
      </w:r>
    </w:p>
    <w:p>
      <w:pPr>
        <w:pStyle w:val="Title"/>
        <w:spacing w:before="120" w:after="360"/>
        <w:rPr>
          <w:lang w:val="el" w:eastAsia="el"/>
        </w:rPr>
      </w:pPr>
      <w:r>
        <w:rPr>
          <w:lang w:val="el" w:eastAsia="el"/>
        </w:rPr>
        <w:t>Α. Π.: Εισερχ. Α1081</w:t>
      </w:r>
    </w:p>
    <w:p>
      <w:pPr>
        <w:pStyle w:val="Title"/>
        <w:spacing w:before="120" w:after="360"/>
        <w:rPr>
          <w:lang w:val="el" w:eastAsia="el"/>
        </w:rPr>
      </w:pPr>
      <w:r>
        <w:rPr>
          <w:lang w:val="el" w:eastAsia="el"/>
        </w:rPr>
        <w:t>Α. Π. Αποστολέα: Α1081 Ημ/νία Αποστολής: 18/06/2025</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ΕΟΚΧ46ΜΠ3Ζ-603</w:t>
      </w:r>
    </w:p>
    <w:p>
      <w:pPr>
        <w:pStyle w:val="PreambelText"/>
        <w:spacing w:before="240" w:after="240"/>
        <w:rPr>
          <w:lang w:val="el" w:eastAsia="el"/>
        </w:rPr>
      </w:pPr>
      <w:r>
        <w:rPr>
          <w:b/>
          <w:bCs/>
          <w:lang w:val="el" w:eastAsia="el"/>
        </w:rPr>
        <w:t>Αριθ. ΦΕΚ: Β΄3139/20.06.2025</w:t>
      </w:r>
    </w:p>
    <w:p>
      <w:pPr>
        <w:pStyle w:val="PreambelText"/>
        <w:spacing w:before="240" w:after="240"/>
        <w:rPr>
          <w:lang w:val="el" w:eastAsia="el"/>
        </w:rPr>
      </w:pPr>
      <w:r>
        <w:rPr>
          <w:b/>
          <w:bCs/>
          <w:lang w:val="el" w:eastAsia="el"/>
        </w:rPr>
        <w:t>Αθήνα, 17 Ιουνίου 2025</w:t>
      </w:r>
    </w:p>
    <w:p>
      <w:pPr>
        <w:pStyle w:val="PreambelText"/>
        <w:spacing w:before="240" w:after="240"/>
        <w:rPr>
          <w:lang w:val="el" w:eastAsia="el"/>
        </w:rPr>
      </w:pPr>
      <w:r>
        <w:rPr>
          <w:b/>
          <w:bCs/>
          <w:lang w:val="el" w:eastAsia="el"/>
        </w:rPr>
        <w:t>Α. 1081</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17 και της παρ. 17 του άρθρου 83 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 (Β΄5993)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Α.1021/24.02.2023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για τις συναλλαγές που διενεργούν οντότητες που έχουν προχωρήσει στη διασύνδεση του ταμειακού τους συστήματος με τα μέσα πληρωμών, η οποία δεν συμμορφώνεται απόλυτα με τα πρωτόκολλα των υπό στοιχεία Α.1098/2022 ή Α.1155/2023 αποφάσεων, εφόσον τα μέσα πληρωμών τους δεν επιτρέπουν την ελεύθερη πληκτρολόγηση ποσών και η ΑΑΔΕ έχει λάβει σχετική ενημέρωση από τους Παρόχους των Τερματικών (NSPs).</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Α.1157/2023 απόφαση του Διοικητή της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δ) της παρ. 2.5 του άρθρου 1 αντικαθίσταται ως εξής:</w:t>
      </w:r>
    </w:p>
    <w:p>
      <w:pPr>
        <w:spacing w:before="240" w:after="240"/>
        <w:rPr>
          <w:lang w:val="el" w:eastAsia="el"/>
        </w:rPr>
      </w:pPr>
      <w:r>
        <w:rPr>
          <w:b/>
          <w:bCs/>
          <w:lang w:val="el" w:eastAsia="el"/>
        </w:rPr>
        <w:t>«δ) Έως και την 31.12.2025, εφόσον έχουν ήδη προβεί σε υλοποιήσεις διασύνδεσης του Ταμειακού Συστήματος με τα Μέσα Πληρωμών που διαθέτουν, οι οποίες καίτοι δεν συμμορφώνονται επακριβώς με τα πρωτόκολλα των υπό στοιχεία Α.1098/2022 ή Α.1155/2023, κατά περίπτωση, αποφάσεων, δεν επιτρέπουν κατ' ελάχιστο, την ελεύθερη πληκτρολόγηση ποσού στο Μέσο Πληρωμής και εφόσον η ΑΑΔΕ λάβει σχετική ενημέρωση από τους Παρόχους Μέσων Πληρωμών.».</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Πίνακα Β’ (εκτός του αριθ. 2), Πίνακα Ζ’ (οι αριθ. 1 και 7), Πίνακα Η’ (εκτός των αριθ. 4, 10 και 11) και Πίνακα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