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18/06/2025</w:t>
      </w:r>
    </w:p>
    <w:p>
      <w:pPr>
        <w:pStyle w:val="Title"/>
        <w:spacing w:before="120" w:after="360"/>
        <w:rPr>
          <w:lang w:val="el" w:eastAsia="el"/>
        </w:rPr>
      </w:pPr>
      <w:r>
        <w:rPr>
          <w:lang w:val="el" w:eastAsia="el"/>
        </w:rPr>
        <w:t>Α. Π.: Εισερχ. Α1082</w:t>
      </w:r>
    </w:p>
    <w:p>
      <w:pPr>
        <w:pStyle w:val="Title"/>
        <w:spacing w:before="120" w:after="360"/>
        <w:rPr>
          <w:lang w:val="el" w:eastAsia="el"/>
        </w:rPr>
      </w:pPr>
      <w:r>
        <w:rPr>
          <w:lang w:val="el" w:eastAsia="el"/>
        </w:rPr>
        <w:t>Α. Π. Αποστολέα: Α1082 Ημ/νία Αποστολής: 18/06/2025</w:t>
      </w:r>
    </w:p>
    <w:p>
      <w:pPr>
        <w:pStyle w:val="PreambelText"/>
        <w:spacing w:before="240" w:after="240"/>
        <w:rPr>
          <w:lang w:val="el" w:eastAsia="el"/>
        </w:rPr>
      </w:pPr>
      <w:r>
        <w:rPr>
          <w:b/>
          <w:bCs/>
          <w:lang w:val="el" w:eastAsia="el"/>
        </w:rPr>
        <w:t>ΕΛΛΗΝΙΚΗ ΔΗΜΟΚΡΑΤΙΑ</w:t>
      </w:r>
    </w:p>
    <w:p>
      <w:pPr>
        <w:pStyle w:val="StructureList1"/>
        <w:spacing w:before="120" w:after="0"/>
        <w:rPr>
          <w:lang w:val="el" w:eastAsia="el"/>
        </w:rPr>
      </w:pPr>
      <w:r>
        <w:rPr>
          <w:lang w:val="el" w:eastAsia="el"/>
        </w:rPr>
        <w:t>α)</w:t>
      </w:r>
      <w:r>
        <w:rPr>
          <w:lang w:val="en" w:eastAsia="en"/>
        </w:rPr>
        <w:tab/>
      </w:r>
      <w:r>
        <w:rPr>
          <w:b/>
          <w:bCs/>
          <w:lang w:val="el" w:eastAsia="el"/>
        </w:rPr>
        <w:t>Της παρ. 9 του άρθρου 12 και της παρ. 1 του άρθρου 40 του ν. 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ΠΟΛ. 1015/10.1.2012 υπουργικής απόφασης «Χρονικά όρια δυνατότητας διάθεσης ΦΗΜ και φορολογικών μνημών» (Β΄257),</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ΠΟΛ. 1063/26.3.2008 υπουργικής απόφασης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 1234/9.10.2002 υπουργικής απόφασης «Τεχνικές προδιαγραφές φορολογικών ηλεκτρονικών μηχανισμών και συστημάτων» (Β΄1362),</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Α.1173/2022 απόφασης του Διοικητή της ΑΑΔΕ «Τροποποίηση τεχνικών προδιαγραφών ΦΗΜ» (Β’ 6953),</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Α.1024/2020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Α.1073/18.5.2023 απόφασης του Διοικητή της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Α.1157/12.10.2023 απόφασης του Διοικητή της ΑΑΔΕ «Καθορισμός του χρόνου και της διαδικασίας αναβάθμισης των Μέσων Πληρωμών, που χρησιμοποιούν οι οντότητες του άρθρου 1 του ν. 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 4987/2022 (ΚΦΔ). Τροποποίηση της υπό στοιχεία Α. 1021/2023 (Β΄1826) απόφασης του Διοικητή της ΑΑΔΕ.» (Β΄5994).</w:t>
      </w:r>
    </w:p>
    <w:p>
      <w:pPr>
        <w:pStyle w:val="PreambelText"/>
        <w:spacing w:before="240" w:after="240"/>
        <w:rPr>
          <w:lang w:val="el" w:eastAsia="el"/>
        </w:rPr>
      </w:pPr>
      <w:r>
        <w:rPr>
          <w:lang w:val="el" w:eastAsia="el"/>
        </w:rPr>
        <w:t xml:space="preserve">3.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Δ.ΟΡΓ.Α 1125859 ΕΞ2020/23.10.2020 απόφασης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β)</w:t>
      </w:r>
      <w:r>
        <w:rPr>
          <w:lang w:val="en" w:eastAsia="en"/>
        </w:rPr>
        <w:tab/>
      </w:r>
      <w:r>
        <w:rPr>
          <w:b/>
          <w:bCs/>
          <w:lang w:val="el" w:eastAsia="el"/>
        </w:rPr>
        <w:t>της υπ’ αρ. 1/20.1.2016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παροχής πρόσθετου χρόνου για την αποφυγή υπέρμετρης επιβάρυνσης των φορολογουμένων αναφορικά με την εκπλήρωση της υποχρέωσης απόσυρσης και οριστικής παύσης χρήσης των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PreambelText"/>
        <w:spacing w:before="240" w:after="240"/>
        <w:rPr>
          <w:lang w:val="el" w:eastAsia="el"/>
        </w:rPr>
      </w:pPr>
      <w:r>
        <w:rPr>
          <w:lang w:val="el" w:eastAsia="el"/>
        </w:rPr>
        <w:t xml:space="preserve">5. </w:t>
      </w:r>
      <w:r>
        <w:rPr>
          <w:b/>
          <w:bCs/>
          <w:lang w:val="el" w:eastAsia="el"/>
        </w:rPr>
        <w:t>Το γεγονός ότι η απόφαση αυτή δεν προκαλεί δαπάνη σε βάρος του προϋπολογισμού της ΑΑΔΕ.</w:t>
      </w:r>
    </w:p>
    <w:p>
      <w:pPr>
        <w:pStyle w:val="PreambelText"/>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Α.1073/18.5.2023 απόφαση του Διοικητή της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Εστιατορίου»(Β΄4516 - Διόρθωση Σφάλματος Β΄4606),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2 του άρθρου 1 αντικαθίσταται ως εξής:</w:t>
      </w:r>
    </w:p>
    <w:p>
      <w:pPr>
        <w:spacing w:before="240" w:after="240"/>
        <w:rPr>
          <w:lang w:val="el" w:eastAsia="el"/>
        </w:rPr>
      </w:pPr>
      <w:r>
        <w:rPr>
          <w:b/>
          <w:bCs/>
          <w:lang w:val="el" w:eastAsia="el"/>
        </w:rPr>
        <w:t>«2. Οι προθεσμίες του πρώτου και δεύτερου εδαφίου της παρ. 1 παρατείνονται έως 31.12.2025 και 1.1.2026 αντίστοιχα,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του άρθρου 1 της υπό στοιχεία Α.1157/2023 απόφασης Διοικητή της Α.Α.Δ.Ε.</w:t>
      </w:r>
    </w:p>
    <w:p>
      <w:pPr>
        <w:spacing w:before="240" w:after="240"/>
        <w:rPr>
          <w:lang w:val="el" w:eastAsia="el"/>
        </w:rPr>
      </w:pPr>
      <w:r>
        <w:rPr>
          <w:lang w:val="el" w:eastAsia="el"/>
        </w:rPr>
        <w:t xml:space="preserve">2. </w:t>
      </w:r>
      <w:r>
        <w:rPr>
          <w:b/>
          <w:bCs/>
          <w:lang w:val="el" w:eastAsia="el"/>
        </w:rPr>
        <w:t>Η περ. β) της παρ. 1 του άρθρου 3 αντικαθίσταται ως εξής:</w:t>
      </w:r>
    </w:p>
    <w:p>
      <w:pPr>
        <w:spacing w:before="240" w:after="240"/>
        <w:rPr>
          <w:lang w:val="el" w:eastAsia="el"/>
        </w:rPr>
      </w:pPr>
      <w:r>
        <w:rPr>
          <w:b/>
          <w:bCs/>
          <w:lang w:val="el" w:eastAsia="el"/>
        </w:rPr>
        <w:t xml:space="preserve">«β) Η προθεσμία της περ. α) παρατείνεται έως 1.1.2026, </w:t>
      </w:r>
    </w:p>
    <w:p>
      <w:pPr>
        <w:spacing w:before="240" w:after="240"/>
        <w:rPr>
          <w:lang w:val="el" w:eastAsia="el"/>
        </w:rPr>
      </w:pPr>
      <w:r>
        <w:rPr>
          <w:b/>
          <w:bCs/>
          <w:lang w:val="el" w:eastAsia="el"/>
        </w:rPr>
        <w:t>εφόσον οι οντότητες κάνουν χρήσηΕΑΦΔΣΣ ως τμήμα Ταμειακού Συστήματος που διασυνδέεται με Μέσα Πληρωμών και οι σχετικές</w:t>
      </w:r>
      <w:r>
        <w:rPr>
          <w:lang w:val="el" w:eastAsia="el"/>
        </w:rPr>
        <w:t>3</w:t>
      </w:r>
    </w:p>
    <w:p>
      <w:pPr>
        <w:spacing w:before="240" w:after="240"/>
        <w:rPr>
          <w:lang w:val="el" w:eastAsia="el"/>
        </w:rPr>
      </w:pPr>
      <w:r>
        <w:rPr>
          <w:b/>
          <w:bCs/>
          <w:lang w:val="el" w:eastAsia="el"/>
        </w:rPr>
        <w:t>διασυνδέσεις πληρούν τα οριζόμενα στην περ. δ) της παρ. 2.5 του άρθρου 1 της Α.1157/2023 απόφασης Διοικητή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Πίνακα Β’ (εκτός του αριθ. 2), Πίνακα Ζ’ (οι αριθ. 1 και 7), Πίνακα Η’ (εκτός των αριθ. 4, 10 και 11) και Πίνακα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