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47429/19.6.202</w:t>
      </w:r>
      <w:r>
        <w:rPr>
          <w:lang w:val="el" w:eastAsia="el"/>
        </w:rPr>
        <w:t>5 (4)</w:t>
      </w:r>
    </w:p>
    <w:p>
      <w:pPr>
        <w:pStyle w:val="PreambelText"/>
        <w:spacing w:before="240" w:after="240"/>
        <w:rPr>
          <w:lang w:val="el" w:eastAsia="el"/>
        </w:rPr>
      </w:pPr>
      <w:r>
        <w:rPr>
          <w:b/>
          <w:bCs/>
          <w:lang w:val="el" w:eastAsia="el"/>
        </w:rPr>
        <w:t>Καθορισμός του ποσού των ενισχύσεων που χρηματοδοτείται από το Ταμείο Ανάκαμψης και Ανθεκτικότητας για τα επενδυτικά σχέδια που έχουν χαρακτηρισθεί «Εμβληματικές Επενδύσεις Εξαιρετικής Σημασίας» και για τα οποία εκδίδεται, εντός του 2025, απόφαση χορήγησης κινήτρων και ενισχύσεων σύμφωνα με τις διατάξεις του άρθρου 16 του ν. 4864/2021.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 έως 30 του ν. 4864/2021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 237) και ιδίως την παρ. 6 του άρθρου 28 και την παρ. 5 του άρθρου 10.</w:t>
      </w:r>
    </w:p>
    <w:p>
      <w:pPr>
        <w:pStyle w:val="PreambelText"/>
        <w:spacing w:before="240" w:after="240"/>
        <w:rPr>
          <w:lang w:val="el" w:eastAsia="el"/>
        </w:rPr>
      </w:pPr>
      <w:r>
        <w:rPr>
          <w:lang w:val="el" w:eastAsia="el"/>
        </w:rPr>
        <w:t>2. Τον Γενικό Απαλλακτικό Κανονισμό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όπως τροποποιήθηκε με τον Κανονισμό 2023/1315 της Επιτροπής της 23ης Ιουνίου 2023.</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6. Το άρθρο 90 του «Κώδικα για την Κυβέρνηση και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Το π.δ. 32/2024 «Διορισμός Υπουργών και Υφυπουργών» (Α’ 91).</w:t>
      </w:r>
    </w:p>
    <w:p>
      <w:pPr>
        <w:pStyle w:val="PreambelText"/>
        <w:spacing w:before="240" w:after="240"/>
        <w:rPr>
          <w:lang w:val="el" w:eastAsia="el"/>
        </w:rPr>
      </w:pPr>
      <w:r>
        <w:rPr>
          <w:lang w:val="el" w:eastAsia="el"/>
        </w:rPr>
        <w:t>13.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14. Την υπό στοιχεία 32787ΕΞ2022/11.3.2022 απόφαση του Αναπληρωτή Υπουργού Οικονομικών για την ένταξη του έργου με τίτλο «Subproject 1: Εμβληματικές Επενδύσεις Εξαιρετικής Σημασίας» (κωδικός ΟΠΣ ΤΑ 5165175) στο Ταμείο Ανάκαμψης και Ανθεκτικότητας (ΑΔΑ: 62Δ9Η-0ΗΤ) και την υπ’ αρ. 59070/7.6.2022 απόφαση του Υφυπουργού Ανάπτυξης και Επενδύσεων για την ένταξη του έργου στο ΠΔΕ 2022 με κωδικό έργου 2022ΤΑ01900003 (ΑΔΑ: 6Θ9Λ46ΜΤΛΡ-0Ι4).</w:t>
      </w:r>
    </w:p>
    <w:p>
      <w:pPr>
        <w:pStyle w:val="PreambelText"/>
        <w:spacing w:before="240" w:after="240"/>
        <w:rPr>
          <w:lang w:val="el" w:eastAsia="el"/>
        </w:rPr>
      </w:pPr>
      <w:r>
        <w:rPr>
          <w:lang w:val="el" w:eastAsia="el"/>
        </w:rPr>
        <w:t>15. Την υπ’ αρ. 46774/17.06.2025 εισήγηση της Προϊσταμένης της Γενικής Διεύθυνσης Οικονομικών Υπηρεσιών του Υπουργείου Ανάπτυξης, όπως προβλέπεται στην περ. ε της παρ. 5 του άρθρου 24 του ν. 4270/2014, όπως ισχύει.</w:t>
      </w:r>
    </w:p>
    <w:p>
      <w:pPr>
        <w:pStyle w:val="PreambelText"/>
        <w:spacing w:before="240" w:after="240"/>
        <w:rPr>
          <w:lang w:val="el" w:eastAsia="el"/>
        </w:rPr>
      </w:pPr>
      <w:r>
        <w:rPr>
          <w:lang w:val="el" w:eastAsia="el"/>
        </w:rPr>
        <w:t>16. Το γεγονός ότι από τις διατάξεις της παρούσας απόφασης προκαλείται επιβάρυνση του Ταμείου Ανάκαμψης και Ανθεκτικότητας, το ύψος της οποίας αναλύεται στο άρθρο 2 της παρούσας. Η προκαλούμενη δαπάνη θα αντιμετωπισθεί στο πλαίσιο των υφιστάμενων ορίων του Μεσοπρόθεσμου Πλαισίου Δημοσιονομικής Στρατηγικής.</w:t>
      </w:r>
    </w:p>
    <w:p>
      <w:pPr>
        <w:pStyle w:val="PreambelText"/>
        <w:spacing w:before="240" w:after="240"/>
        <w:rPr>
          <w:lang w:val="el" w:eastAsia="el"/>
        </w:rPr>
      </w:pPr>
      <w:r>
        <w:rPr>
          <w:lang w:val="el" w:eastAsia="el"/>
        </w:rPr>
        <w:t>17.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επιχορήγησης</w:t>
      </w:r>
    </w:p>
    <w:p>
      <w:pPr>
        <w:spacing w:before="240" w:after="240"/>
        <w:rPr>
          <w:lang w:val="el" w:eastAsia="el"/>
        </w:rPr>
      </w:pPr>
      <w:r>
        <w:rPr>
          <w:lang w:val="el" w:eastAsia="el"/>
        </w:rPr>
        <w:t>Το συνολικό ποσό της επιχορήγησης για τα επενδυτικά σχέδια που χρηματοδοτούνται από το Ταμείο Ανάκαμψης και Ανθεκτικότητας, έχουν χαρακτηρισθεί Στρατηγικές Επενδύσεις και ειδικότερα «Εμβληματικές Επενδύσεις Εξαιρετικής Σημασίας» σύμφωνα με την περ. γ’ της παρ. 1 του άρθρου 2 του ν. 4864/2021 και για τα οποία εκδίδεται εντός του έτους 2025 η απόφαση χορήγησης κινήτρων και ενισχύσεων του άρθρου 16 του ως άνω νόμου, καθορίζεται στο ποσό των τριάντα πέντε εκατομμυρίων διακοσίων χιλιάδων πεντακοσίων ενενήντα τριών ευρώ και εξήντα τεσσάρων λεπτών (35.200.593,64 €).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Πηγές Χρηματοδότησης - Επιβάρυνση</w:t>
      </w:r>
    </w:p>
    <w:p>
      <w:pPr>
        <w:spacing w:before="240" w:after="240"/>
        <w:rPr>
          <w:lang w:val="el" w:eastAsia="el"/>
        </w:rPr>
      </w:pPr>
      <w:r>
        <w:rPr>
          <w:lang w:val="el" w:eastAsia="el"/>
        </w:rPr>
        <w:t>Προϋπολογισμού Δημοσίων Επενδύσεων</w:t>
      </w:r>
    </w:p>
    <w:p>
      <w:pPr>
        <w:spacing w:before="240" w:after="240"/>
        <w:rPr>
          <w:lang w:val="el" w:eastAsia="el"/>
        </w:rPr>
      </w:pPr>
      <w:r>
        <w:rPr>
          <w:lang w:val="el" w:eastAsia="el"/>
        </w:rPr>
        <w:t>Από τις διατάξεις της παρούσας απόφασης εκτιμάται ότι:</w:t>
      </w:r>
    </w:p>
    <w:p>
      <w:pPr>
        <w:spacing w:before="240" w:after="240"/>
        <w:rPr>
          <w:lang w:val="el" w:eastAsia="el"/>
        </w:rPr>
      </w:pPr>
      <w:r>
        <w:rPr>
          <w:lang w:val="el" w:eastAsia="el"/>
        </w:rPr>
        <w:t>i. Για το έτος 2025 θα προκύψει δαπάνη ύψους δεκατεσσάρων εκατομμυρίων ογδόντα χιλιάδων διακοσίων τριάντα επτά ευρώ και σαράντα έξι λεπτών (14.080.237,46 €) σε βάρος του Ταμείου Ανάκαμψης και Ανθεκτικότητας.</w:t>
      </w:r>
    </w:p>
    <w:p>
      <w:pPr>
        <w:spacing w:before="240" w:after="240"/>
        <w:rPr>
          <w:lang w:val="el" w:eastAsia="el"/>
        </w:rPr>
      </w:pPr>
      <w:r>
        <w:rPr>
          <w:lang w:val="el" w:eastAsia="el"/>
        </w:rPr>
        <w:t>ii. Για το έτος 2026 θα προκύψει δαπάνη ύψους είκοσι ενός εκατομμυρίων εκατόν είκοσι χιλιάδων τριακοσίων πενήντα έξι ευρώ και δεκαοχτώ λεπτών (21.120.356,18 €) σε βάρος του Ταμείου Ανάκαμψης και Ανθεκτικότητας.</w:t>
      </w:r>
    </w:p>
    <w:p>
      <w:pPr>
        <w:spacing w:before="240" w:after="240"/>
        <w:rPr>
          <w:lang w:val="el" w:eastAsia="el"/>
        </w:rPr>
      </w:pPr>
      <w:r>
        <w:rPr>
          <w:lang w:val="el" w:eastAsia="el"/>
        </w:rPr>
        <w:t>Τα ως άνω εκτιμώμενα ποσά συναρτώνται από το βαθμό υλοποίησης των επενδυτικών σχεδίων για τα οποία θα εκδοθεί εντός του τρέχοντος έτους (2025) η απόφαση χορήγησης κινήτρων του άρθρου 16 του ν. 4864/2021.</w:t>
      </w:r>
    </w:p>
    <w:p>
      <w:pPr>
        <w:spacing w:before="240" w:after="240"/>
        <w:rPr>
          <w:lang w:val="el" w:eastAsia="el"/>
        </w:rPr>
      </w:pPr>
      <w:r>
        <w:rPr>
          <w:lang w:val="el" w:eastAsia="el"/>
        </w:rPr>
        <w:t>Οι ενισχύσεις που χρηματοδοτούνται από το Ταμείο Ανάκαμψης και Ανθεκτικότητας και καταβάλλονται σε επενδυτικούς φορείς που δεν ολοκληρώνουν τα επενδυτικά τους σχέδια έως 31/5/2026 θεωρούνται αχρεωστήτως καταβληθείσες.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