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110940</w:t>
      </w:r>
    </w:p>
    <w:p>
      <w:pPr>
        <w:pStyle w:val="PreambelText"/>
        <w:spacing w:before="240" w:after="240"/>
        <w:rPr>
          <w:lang w:val="el" w:eastAsia="el"/>
        </w:rPr>
      </w:pPr>
      <w:r>
        <w:rPr>
          <w:b/>
          <w:bCs/>
          <w:lang w:val="el" w:eastAsia="el"/>
        </w:rPr>
        <w:t>Οριστική διαγραφή από το Μητρώο Αδειών Κυκλοφορίας Οχημάτων του Υπουργείου Υποδομών και Μεταφορών οχημάτων που βρίσκονται σε κατάσταση ακινησίας από τους κληρονόμους.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7 του άρθρου 62 του ν. 5177/2025 «Κύρωση Κώδικα εμμέσων φόρων επί των συναλλαγών του πεδίου εφαρμογής του Κώδικα Φορολογικής Διαδικασίας, καθώς και λοιπών εμμέσων φόρων» (Α’ 21) και ιδίως τα εδάφια τρίτο και έκτο.</w:t>
      </w:r>
    </w:p>
    <w:p>
      <w:pPr>
        <w:pStyle w:val="PreambelText"/>
        <w:spacing w:before="240" w:after="240"/>
        <w:rPr>
          <w:lang w:val="el" w:eastAsia="el"/>
        </w:rPr>
      </w:pPr>
      <w:r>
        <w:rPr>
          <w:lang w:val="el" w:eastAsia="el"/>
        </w:rPr>
        <w:t>2. Το π.δ. 116/2004 «Μέτρα, όροι και πρόγραμμα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μετατροπέων σε συμμόρφωση με τις διατάξεις της Οδηγίας 2000/53/ΕΚ "για τα οχήματα στο τέλος του κύκλου ζωής τους" του Συμβουλίου της 18ης Σεπτεμβρίου 2000» (Α’ 81).</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4. Το π.δ. 123/2017 «Οργανισμός του Υπουργείου Υποδομών και Μεταφορών» (Α’ 151).</w:t>
      </w:r>
    </w:p>
    <w:p>
      <w:pPr>
        <w:pStyle w:val="PreambelText"/>
        <w:spacing w:before="240" w:after="240"/>
        <w:rPr>
          <w:lang w:val="el" w:eastAsia="el"/>
        </w:rPr>
      </w:pPr>
      <w:r>
        <w:rPr>
          <w:lang w:val="el" w:eastAsia="el"/>
        </w:rPr>
        <w:t>5. Το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6. Την υπό στοιχεία 47542/ΕΞ/2025/19.3.2025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pStyle w:val="PreambelText"/>
        <w:spacing w:before="240" w:after="240"/>
        <w:rPr>
          <w:lang w:val="el" w:eastAsia="el"/>
        </w:rPr>
      </w:pPr>
      <w:r>
        <w:rPr>
          <w:lang w:val="el" w:eastAsia="el"/>
        </w:rPr>
        <w:t>7. Την υπό στοιχεία Υ7/19-03-2025 απόφαση του Πρωθυπουργού «Ανάθεση αρμοδιοτήτων στον Αναπληρωτή Υπουργό Υποδομών και Μεταφορών, Κωνσταντίνο Κυρανάκη» (Β’ 1365).</w:t>
      </w:r>
    </w:p>
    <w:p>
      <w:pPr>
        <w:pStyle w:val="PreambelText"/>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9.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10. Την υπ’ αρ. 62087/08-04-2025 εισηγητική έκθεση Δημοσιονομικών Επιπτώσεων του Προϊσταμένου της Γενικής Διεύθυνσης Οικονομικών Υπηρεσιών του Υπουργείου Υποδομών και Μεταφορών σύμφωνα με το εδάφιο ε’ της παρ. 5 του άρθρου 24 του ν. 4270/2014 (Α’ 143), από την οποία προκύπτει ότι η έκδοση της παρούσας απόφασης έχει ουδέτερο δημοσιονομικό αποτέλεσμα και συνεπώς δεν προκαλείται δαπάνη στον κρατικό προϋπολογισμό.</w:t>
      </w:r>
    </w:p>
    <w:p>
      <w:pPr>
        <w:pStyle w:val="PreambelText"/>
        <w:spacing w:before="240" w:after="240"/>
        <w:rPr>
          <w:lang w:val="el" w:eastAsia="el"/>
        </w:rPr>
      </w:pPr>
      <w:r>
        <w:rPr>
          <w:lang w:val="el" w:eastAsia="el"/>
        </w:rPr>
        <w:t>11. Το γεγονός ότι με τις διατάξεις της παρούσας θεσπίζονται οι ακόλουθες νέες διοικητικές διαδικασίες με επίσημο τίτλο:</w:t>
      </w:r>
    </w:p>
    <w:p>
      <w:pPr>
        <w:pStyle w:val="PreambelText"/>
        <w:spacing w:before="240" w:after="240"/>
        <w:rPr>
          <w:lang w:val="el" w:eastAsia="el"/>
        </w:rPr>
      </w:pPr>
      <w:r>
        <w:rPr>
          <w:lang w:val="el" w:eastAsia="el"/>
        </w:rPr>
        <w:t>(α) «Οριστική διαγραφή αυτοκινήτου ή δικύκλου ΙΧ που βρίσκεται σε ακινησία από κληρονόμους λόγω ανακύκλωσης»,</w:t>
      </w:r>
    </w:p>
    <w:p>
      <w:pPr>
        <w:pStyle w:val="PreambelText"/>
        <w:spacing w:before="240" w:after="240"/>
        <w:rPr>
          <w:lang w:val="el" w:eastAsia="el"/>
        </w:rPr>
      </w:pPr>
      <w:r>
        <w:rPr>
          <w:lang w:val="el" w:eastAsia="el"/>
        </w:rPr>
        <w:t>(β) «Βεβαίωση διαγραφής φορτηγού αυτοκινήτου ΙΧ έως 3,5 τόνων που βρίσκεται σε ακινησία από κληρονόμους λόγω ανακύκλωσης»,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Αυτοκίνητο όχημα επιβατικό ΙΧ, μοτοσυκλέτα ΙΧ ή φορτηγό αυτοκίνητο ΙΧ κατηγορίας Ν1, το οποίο κατά το χρόνο του θανάτου του ιδιοκτήτη αυτού βρίσκεται σε κατάσταση ακινησίας, δύναται να διαγραφεί από το Μητρώο Αδειών Κυκλοφορίας Οχημάτων του Υπουργείου Υποδομών και Μεταφορών, κατόπιν αιτήματος του συνόλου των νομίμων κληρονόμων, αφού προηγουμένως παραδοθεί από αυτούς προς ολική καταστροφή με ανακύκλωση στα ειδικώς προς τούτο εξουσιοδοτημένα κέντρα ανακύκλωσης. Στην περίπτωση αυτή δεν απαιτείται οι κληρονόμοι να έχουν μεταβιβάσει το όχημα στο όνομά τους και να έχουν εκδώσει άδεια κυκλοφορίας, σύμφωνα με το άρθρο 2 του ν. 722/1977 (Α’ 299) για τα επιβατικά ΙΧ αυτοκίνητα, μοτοσυκλέτες ΙΧ ή σύμφωνα με τις διατάξεις που ισχύουν για την έκδοση άδειας κυκλοφορίας φορτηγού αυτοκινήτου ιδιωτικής χρήσης.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εταιρεία ανακύκλωσης αποστέλλει αμελλητί το πιστοποιητικό καταστροφής του οχήματος στη Διεύθυνση Μεταφορών και Επικοινωνιών της οικείας Περιφερειακής Ενότητας στην οποία πρόκειται να υποβληθούν τα δικαιολογητικά της παρ. 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και δικαιολογητικά οριστικής διαγραφής</w:t>
      </w:r>
    </w:p>
    <w:p>
      <w:pPr>
        <w:pStyle w:val="MainText"/>
        <w:spacing w:before="120" w:after="0"/>
        <w:rPr>
          <w:lang w:val="el" w:eastAsia="el"/>
        </w:rPr>
      </w:pPr>
      <w:r>
        <w:rPr>
          <w:b/>
          <w:bCs/>
          <w:lang w:val="el" w:eastAsia="el"/>
        </w:rPr>
        <w:t>1.</w:t>
      </w:r>
      <w:r>
        <w:rPr>
          <w:lang w:val="el" w:eastAsia="el"/>
        </w:rPr>
        <w:t xml:space="preserve"> Η διαδικασία της οριστικής διαγραφής ολοκληρώνεται κατόπιν αίτησης από το σύνολο των κληρονόμων και υποβολής των κάτωθι δικαιολογητικών στη Διεύθυνση Μεταφορών και Επικοινωνιών της οικείας Περιφερειακής Ενότητας:</w:t>
      </w:r>
    </w:p>
    <w:p>
      <w:pPr>
        <w:spacing w:before="240" w:after="240"/>
        <w:rPr>
          <w:lang w:val="el" w:eastAsia="el"/>
        </w:rPr>
      </w:pPr>
      <w:r>
        <w:rPr>
          <w:lang w:val="el" w:eastAsia="el"/>
        </w:rPr>
        <w:t>(α) Ληξιαρχική πράξη θανάτου του ιδιοκτήτη του οχήματος.</w:t>
      </w:r>
    </w:p>
    <w:p>
      <w:pPr>
        <w:spacing w:before="240" w:after="240"/>
        <w:rPr>
          <w:lang w:val="el" w:eastAsia="el"/>
        </w:rPr>
      </w:pPr>
      <w:r>
        <w:rPr>
          <w:lang w:val="el" w:eastAsia="el"/>
        </w:rPr>
        <w:t>(β) Δήλωση φόρου κληρονομιάς, από την οποία προκύπτει το κληρονομούμενο όχημα, το σύνολο των νομίμων κληρονόμων και ότι δεν οφείλεται φόρος κληρονομίας.</w:t>
      </w:r>
    </w:p>
    <w:p>
      <w:pPr>
        <w:spacing w:before="240" w:after="240"/>
        <w:rPr>
          <w:lang w:val="el" w:eastAsia="el"/>
        </w:rPr>
      </w:pPr>
      <w:r>
        <w:rPr>
          <w:lang w:val="el" w:eastAsia="el"/>
        </w:rPr>
        <w:t>(γ) Βεβαίωση ή άλλο δικαιολογητικό από το οποίο προκύπτει ότι δεν οφείλονται τέλη κυκλοφορίας για το όχημα.</w:t>
      </w:r>
    </w:p>
    <w:p>
      <w:pPr>
        <w:spacing w:before="240" w:after="240"/>
        <w:rPr>
          <w:lang w:val="el" w:eastAsia="el"/>
        </w:rPr>
      </w:pPr>
      <w:r>
        <w:rPr>
          <w:lang w:val="el" w:eastAsia="el"/>
        </w:rPr>
        <w:t>(δ) Άδεια κυκλοφορίας και πινακίδες κυκλοφορίας του φορτηγού ΙΧ αυτοκινήτου.</w:t>
      </w:r>
    </w:p>
    <w:p>
      <w:pPr>
        <w:spacing w:before="240" w:after="240"/>
        <w:rPr>
          <w:lang w:val="el" w:eastAsia="el"/>
        </w:rPr>
      </w:pPr>
      <w:r>
        <w:rPr>
          <w:lang w:val="el" w:eastAsia="el"/>
        </w:rPr>
        <w:t>(ε) Πιστοποιητικό καταστροφής από την Εναλλακτική Διαχείριση Οχημάτων Ελλάδος (ΕΔΟΕ).</w:t>
      </w:r>
    </w:p>
    <w:p>
      <w:pPr>
        <w:pStyle w:val="MainText"/>
        <w:spacing w:before="120" w:after="0"/>
        <w:rPr>
          <w:lang w:val="el" w:eastAsia="el"/>
        </w:rPr>
      </w:pPr>
      <w:r>
        <w:rPr>
          <w:b/>
          <w:bCs/>
          <w:lang w:val="el" w:eastAsia="el"/>
        </w:rPr>
        <w:t>2.</w:t>
      </w:r>
      <w:r>
        <w:rPr>
          <w:lang w:val="el" w:eastAsia="el"/>
        </w:rPr>
        <w:t xml:space="preserve"> Η οριστική διαγραφή φορτηγού αυτοκινήτου ΙΧ γίνεται από την Περιφερειακή Υπηρεσία Μεταφορών και Επικοινωνιών όπου τηρείται ο υπηρεσιακός φάκελος του οχήματος.</w:t>
      </w:r>
    </w:p>
    <w:p>
      <w:pPr>
        <w:pStyle w:val="MainText"/>
        <w:spacing w:before="120" w:after="0"/>
        <w:rPr>
          <w:lang w:val="el" w:eastAsia="el"/>
        </w:rPr>
      </w:pPr>
      <w:r>
        <w:rPr>
          <w:b/>
          <w:bCs/>
          <w:lang w:val="el" w:eastAsia="el"/>
        </w:rPr>
        <w:t>3.</w:t>
      </w:r>
      <w:r>
        <w:rPr>
          <w:lang w:val="el" w:eastAsia="el"/>
        </w:rPr>
        <w:t xml:space="preserve"> Οχήματα για τα οποία υφίσταται κώλυμα οριστικής διαγραφής, όπως παρακράτηση της κυριότητας ή δικαστική απόφαση που απαγορεύει τη μεταβολή της κατάστασης του οχήματος, δεν διαγράφονται οριστικά μέχρι την άρση του κωλύματος.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και έναρξη ισχύος</w:t>
      </w:r>
    </w:p>
    <w:p>
      <w:pPr>
        <w:pStyle w:val="MainText"/>
        <w:spacing w:before="120" w:after="0"/>
        <w:rPr>
          <w:lang w:val="el" w:eastAsia="el"/>
        </w:rPr>
      </w:pPr>
      <w:r>
        <w:rPr>
          <w:b/>
          <w:bCs/>
          <w:lang w:val="el" w:eastAsia="el"/>
        </w:rPr>
        <w:t>1.</w:t>
      </w:r>
      <w:r>
        <w:rPr>
          <w:lang w:val="el" w:eastAsia="el"/>
        </w:rPr>
        <w:t xml:space="preserve"> Η ρύθμιση της παρούσας αφορά τα αυτοκίνητα οχήματα του άρθρου 1 τα οποία παραδόθηκαν σε σύστημα εναλλακτικής διαχείρισης μετά τη θέση σε ισχύ του άρθρου 26 του ν. 5113/2024 (Α’ 96).</w:t>
      </w:r>
    </w:p>
    <w:p>
      <w:pPr>
        <w:pStyle w:val="MainText"/>
        <w:spacing w:before="120" w:after="0"/>
        <w:rPr>
          <w:lang w:val="el" w:eastAsia="el"/>
        </w:rPr>
      </w:pPr>
      <w:r>
        <w:rPr>
          <w:b/>
          <w:bCs/>
          <w:lang w:val="el" w:eastAsia="el"/>
        </w:rPr>
        <w:t>2.</w:t>
      </w:r>
      <w:r>
        <w:rPr>
          <w:lang w:val="el" w:eastAsia="el"/>
        </w:rPr>
        <w:t xml:space="preserve"> 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Παπάγου, 2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w:t>
      </w:r>
    </w:p>
    <w:p>
      <w:pPr>
        <w:spacing w:before="240" w:after="240"/>
        <w:rPr>
          <w:lang w:val="el" w:eastAsia="el"/>
        </w:rPr>
      </w:pPr>
      <w:r>
        <w:rPr>
          <w:lang w:val="el" w:eastAsia="el"/>
        </w:rPr>
        <w:t>ΠΙΕΡΡΑΚΑΚΗΣ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b/>
          <w:bCs/>
          <w:lang w:val="el" w:eastAsia="el"/>
        </w:rPr>
        <w:t>ΓΕΩΡΓΙΟΣ ΚΩΤΣΗΡΑΣ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b/>
          <w:bCs/>
          <w:lang w:val="el" w:eastAsia="el"/>
        </w:rPr>
        <w:t>ΚΩΝΣΤΑΝΤΙΝΟΣ ΚΥΡΑΝΑΚΗΣ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