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Γ4/117279</w:t>
      </w:r>
    </w:p>
    <w:p>
      <w:pPr>
        <w:pStyle w:val="PreambelText"/>
        <w:spacing w:before="240" w:after="240"/>
        <w:rPr>
          <w:lang w:val="el" w:eastAsia="el"/>
        </w:rPr>
      </w:pPr>
      <w:r>
        <w:rPr>
          <w:b/>
          <w:bCs/>
          <w:lang w:val="el" w:eastAsia="el"/>
        </w:rPr>
        <w:t>Ψηφιακή διαδικασία μεταβίβασης φορτηγού ιδιωτικής χρήσης με ΜΑΜΦΟ έως τέσσερις (4) τόνους.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ΥΠΟΔΟΜΩΝ ΚΑΙ ΜΕΤΑΦΟΡΩΝ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Toν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την παρ. 19 του άρθρου 107 αυτού.</w:t>
      </w:r>
    </w:p>
    <w:p>
      <w:pPr>
        <w:pStyle w:val="PreambelText"/>
        <w:spacing w:before="240" w:after="240"/>
        <w:rPr>
          <w:lang w:val="el" w:eastAsia="el"/>
        </w:rPr>
      </w:pPr>
      <w:r>
        <w:rPr>
          <w:lang w:val="el" w:eastAsia="el"/>
        </w:rPr>
        <w:t>2. Το β.δ. 281/1973 «Περί κωδικοποιήσεως εις ενιαίον κείμενον των διατάξεων του ν.δ. 49/1968 και των τροποποιητικών και συμπληρωματικών αυτού ν.δ. 833/1971 και 1268/1972» (Α’ 84).</w:t>
      </w:r>
    </w:p>
    <w:p>
      <w:pPr>
        <w:pStyle w:val="PreambelText"/>
        <w:spacing w:before="240" w:after="240"/>
        <w:rPr>
          <w:lang w:val="el" w:eastAsia="el"/>
        </w:rPr>
      </w:pPr>
      <w:r>
        <w:rPr>
          <w:lang w:val="el" w:eastAsia="el"/>
        </w:rPr>
        <w:t>3. Την υπό στοιχεία Α2/29542/5347/1991 υπουργική απόφαση «Χορήγηση αδειών κυκλοφορίας Φ.Ι.Χ. αυτοκινήτων σύμφωνα με τις διατάξεις του ν. 1959/1991» (Β’ 707).</w:t>
      </w:r>
    </w:p>
    <w:p>
      <w:pPr>
        <w:pStyle w:val="PreambelText"/>
        <w:spacing w:before="240" w:after="240"/>
        <w:rPr>
          <w:lang w:val="el" w:eastAsia="el"/>
        </w:rPr>
      </w:pPr>
      <w:r>
        <w:rPr>
          <w:lang w:val="el" w:eastAsia="el"/>
        </w:rPr>
        <w:t>4. Το άρθρο 128 του ν. 4199/2013 «Δημόσιες υπεραστικές οδικές μεταφορές επιβατών - Ρυθμιστική Αρχή Επιβατικών Μεταφορών και άλλες διατάξεις (Α’ 216).</w:t>
      </w:r>
    </w:p>
    <w:p>
      <w:pPr>
        <w:pStyle w:val="PreambelText"/>
        <w:spacing w:before="240" w:after="240"/>
        <w:rPr>
          <w:lang w:val="el" w:eastAsia="el"/>
        </w:rPr>
      </w:pPr>
      <w:r>
        <w:rPr>
          <w:lang w:val="el" w:eastAsia="el"/>
        </w:rPr>
        <w:t>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 π.δ. 40/2020 «Οργανισμός του Υπουργείου Ψηφιακής Διακυβέρνησης» (Α&amp;#39;85).</w:t>
      </w:r>
    </w:p>
    <w:p>
      <w:pPr>
        <w:pStyle w:val="PreambelText"/>
        <w:spacing w:before="240" w:after="240"/>
        <w:rPr>
          <w:lang w:val="el" w:eastAsia="el"/>
        </w:rPr>
      </w:pPr>
      <w:r>
        <w:rPr>
          <w:lang w:val="el" w:eastAsia="el"/>
        </w:rPr>
        <w:t>8. Το π.δ. 79/2023 «Διορισμός Υπουργών, Αναπληρωτών Υπουργών και Υφυπουργών» (Α&amp;#39; 131).</w:t>
      </w:r>
    </w:p>
    <w:p>
      <w:pPr>
        <w:pStyle w:val="PreambelText"/>
        <w:spacing w:before="240" w:after="240"/>
        <w:rPr>
          <w:lang w:val="el" w:eastAsia="el"/>
        </w:rPr>
      </w:pPr>
      <w:r>
        <w:rPr>
          <w:lang w:val="el" w:eastAsia="el"/>
        </w:rPr>
        <w:t>9. Το π.δ. 123/2017 «Οργανισμός του Υπουργείου Υποδομών και Μεταφορών» (Α’ 151).</w:t>
      </w:r>
    </w:p>
    <w:p>
      <w:pPr>
        <w:pStyle w:val="PreambelText"/>
        <w:spacing w:before="240" w:after="240"/>
        <w:rPr>
          <w:lang w:val="el" w:eastAsia="el"/>
        </w:rPr>
      </w:pPr>
      <w:r>
        <w:rPr>
          <w:lang w:val="el" w:eastAsia="el"/>
        </w:rPr>
        <w:t>10.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11.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12. Την υπό στοιχεία Υ7 απόφαση του Πρωθυπουργού «Ανάθεση αρμοδιοτήτων στον Αναπληρωτή Υπουργό Υποδομών και Μεταφορών, Κωνσταντίνο Κυρανάκη» (Β’ 1365).</w:t>
      </w:r>
    </w:p>
    <w:p>
      <w:pPr>
        <w:pStyle w:val="PreambelText"/>
        <w:spacing w:before="240" w:after="240"/>
        <w:rPr>
          <w:lang w:val="el" w:eastAsia="el"/>
        </w:rPr>
      </w:pPr>
      <w:r>
        <w:rPr>
          <w:lang w:val="el" w:eastAsia="el"/>
        </w:rPr>
        <w:t>13.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14.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16. Το άρθρο 47 του ν. 4623/2019 «Ρυθμίσεις του Υπουργείου Εσωτερικών, διατάξεις για την ψηφιακή διακυβέρνηση, συνταξιοδοτικές ρυθμίσεις και άλλα επείγοντα θέματα» (Α’ 134).</w:t>
      </w:r>
    </w:p>
    <w:p>
      <w:pPr>
        <w:pStyle w:val="PreambelText"/>
        <w:spacing w:before="240" w:after="240"/>
        <w:rPr>
          <w:lang w:val="el" w:eastAsia="el"/>
        </w:rPr>
      </w:pPr>
      <w:r>
        <w:rPr>
          <w:lang w:val="el" w:eastAsia="el"/>
        </w:rPr>
        <w:t>17.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18. Την υπό στοιχεία 3981 ΕΞ 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15. Την υπ’ αρ. 114742/07-07-2025 εισηγητική έκθεση Δημοσιονομικών Επιπτώσεων του Προϊσταμένου της Γενικής Διεύθυνσης Οικονομικών Υπηρεσιών του Υπουργείου Υποδομών και Μεταφορών του εδαφίου ε’ της παρ. 5 του άρθρου 24 του ν. 4270/2014 (Α’ 143), σύμφωνα με την οποία η υπό έκδοση κοινή υπουργική απόφαση έχει ουδέτερο δημοσιονομικό αποτέλεσμα, καθώς δεν προκαλεί επιβάρυνση του κρατικού προϋπολογισμού, δεν επιφέρει απώλεια ή αύξηση δημοσίων εσόδων και δεν επηρεάζει το εκάστοτε ισχύον Μεσοπρόθεσμο Πλαίσιο Δημοσιονομικής Στρατηγικής (Μ.Π.Δ.Σ.).</w:t>
      </w:r>
    </w:p>
    <w:p>
      <w:pPr>
        <w:pStyle w:val="PreambelText"/>
        <w:spacing w:before="240" w:after="240"/>
        <w:rPr>
          <w:lang w:val="el" w:eastAsia="el"/>
        </w:rPr>
      </w:pPr>
      <w:r>
        <w:rPr>
          <w:lang w:val="el" w:eastAsia="el"/>
        </w:rPr>
        <w:t>16. Το γεγονός ότι με τις διατάξεις της παρούσας τροποποιείται η διοικητική διαδικασία με επίσημο τίτλο «Μεταβίβαση Φορτηγού Ιδιωτικής Χρήσης (ΦΙΧ) με ΜΑΜ- ΦΟ έως 4 τόνους» και Μοναδικό Αριθμό Καταχώρισης (Μ.Α.Κ.) στο ΕΜΔΔ «Μίτος» «896963»,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Αντικείμενο της παρούσας είναι η ρύθμιση θεμάτων σχετικά με την παροχή ψηφιακής διαδικασίας για τη μεταβίβαση φορτηγού αυτοκινήτου ιδιωτικής χρήσης (ΦΙΧ) με Μέγιστη Αποδεκτή Μάζα Φορτωμένου Οχήματος (ΜΑΜΦΟ) έως τέσσερις (4) τόνους μέσω της ειδικής ηλεκτρονικής εφαρμογής </w:t>
      </w:r>
      <w:hyperlink r:id="rId4" w:history="1">
        <w:r>
          <w:rPr>
            <w:rStyle w:val="Hyperlink"/>
            <w:color w:val="0000EE"/>
            <w:u w:color="0000EE"/>
            <w:lang w:val="el" w:eastAsia="el"/>
          </w:rPr>
          <w:t>https://drivers-vehicles.services</w:t>
        </w:r>
      </w:hyperlink>
      <w:r>
        <w:rPr>
          <w:lang w:val="el" w:eastAsia="el"/>
        </w:rPr>
        <w:t>. gov.gr του Υπουργείου Υποδομών και Μεταφορών που είναι προσβάσιμη μέσω της Ενιαίας Ψηφιακής Πύλης της Δημόσιας Διοίκησης (gov.gr ΕΨΠ).</w:t>
      </w:r>
    </w:p>
    <w:p>
      <w:pPr>
        <w:pStyle w:val="MainText"/>
        <w:spacing w:before="120" w:after="0"/>
        <w:rPr>
          <w:lang w:val="el" w:eastAsia="el"/>
        </w:rPr>
      </w:pPr>
      <w:r>
        <w:rPr>
          <w:b/>
          <w:bCs/>
          <w:lang w:val="el" w:eastAsia="el"/>
        </w:rPr>
        <w:t>2.</w:t>
      </w:r>
      <w:r>
        <w:rPr>
          <w:lang w:val="el" w:eastAsia="el"/>
        </w:rPr>
        <w:t xml:space="preserve"> Η ανωτέρω ψηφιακή διαδικασία παρέχεται εφ’ όσον:</w:t>
      </w:r>
    </w:p>
    <w:p>
      <w:pPr>
        <w:spacing w:before="240" w:after="240"/>
        <w:rPr>
          <w:lang w:val="el" w:eastAsia="el"/>
        </w:rPr>
      </w:pPr>
      <w:r>
        <w:rPr>
          <w:lang w:val="el" w:eastAsia="el"/>
        </w:rPr>
        <w:t>(α) Για το φορτηγό αυτοκίνητο έχει εκδοθεί άδεια κυκλοφορίας φορτηγού ιδιωτικής χρήσης (ΦΙΧ) στην Ελλάδα και η ΜΑΜΦΟ του ΦΙΧ δεν υπερβαίνει τους 4 τόνους.</w:t>
      </w:r>
    </w:p>
    <w:p>
      <w:pPr>
        <w:spacing w:before="240" w:after="240"/>
        <w:rPr>
          <w:lang w:val="el" w:eastAsia="el"/>
        </w:rPr>
      </w:pPr>
      <w:r>
        <w:rPr>
          <w:lang w:val="el" w:eastAsia="el"/>
        </w:rPr>
        <w:t>(β) Το ΦΙΧ δεν βρίσκεται σε ακινησία.</w:t>
      </w:r>
    </w:p>
    <w:p>
      <w:pPr>
        <w:spacing w:before="240" w:after="240"/>
        <w:rPr>
          <w:lang w:val="el" w:eastAsia="el"/>
        </w:rPr>
      </w:pPr>
      <w:r>
        <w:rPr>
          <w:lang w:val="el" w:eastAsia="el"/>
        </w:rPr>
        <w:t>(γ) Η κυριότητα του ΦΙΧ ανήκει εξ ολοκλήρου (100%) σε ένα φυσικό πρόσωπο (Πωλητής) χωρίς παρακράτηση της κυριότητας λόγω πίστωσης του τιμήματος και πρόκειται να μεταβιβαστεί εξ ολοκλήρου (100%) σε ένα άλλο φυσικό πρόσωπο (Αγοραστής), χωρίς παρακράτηση της κυριότητας λόγω πίστωσης του τιμήματος.</w:t>
      </w:r>
    </w:p>
    <w:p>
      <w:pPr>
        <w:spacing w:before="240" w:after="240"/>
        <w:rPr>
          <w:lang w:val="el" w:eastAsia="el"/>
        </w:rPr>
      </w:pPr>
      <w:r>
        <w:rPr>
          <w:lang w:val="el" w:eastAsia="el"/>
        </w:rPr>
        <w:t>(δ) Δεν υπάρχουν οφειλές από τέλη κυκλοφορίας του έτους εντός του οποίου λαμβάνει χώρα η μεταβίβαση και των τελών κυκλοφορίας προηγουμένων ετών τα οποία τυχόν οφείλονται για το χρόνο που το όχημα βρισκόταν στην κατοχή του προσώπου που μεταβιβάζει, συμπεριλαμβανομένων των προβλεπόμενων προστίμων, όπως προβλέπεται στην φορολογική νομοθεσία.</w:t>
      </w:r>
    </w:p>
    <w:p>
      <w:pPr>
        <w:spacing w:before="240" w:after="240"/>
        <w:rPr>
          <w:lang w:val="el" w:eastAsia="el"/>
        </w:rPr>
      </w:pPr>
      <w:r>
        <w:rPr>
          <w:lang w:val="el" w:eastAsia="el"/>
        </w:rPr>
        <w:t>(ε) Για το ΦΙΧ δεν υπάρχει δέσμευση στο Μητρώο Αδειών Κυκλοφορίας Οχημάτων.</w:t>
      </w:r>
    </w:p>
    <w:p>
      <w:pPr>
        <w:spacing w:before="240" w:after="240"/>
        <w:rPr>
          <w:lang w:val="el" w:eastAsia="el"/>
        </w:rPr>
      </w:pPr>
      <w:r>
        <w:rPr>
          <w:lang w:val="el" w:eastAsia="el"/>
        </w:rPr>
        <w:t>(στ) Το ΦΙΧ έχει ισχύον δελτίο τεχνικού ελέγχου.</w:t>
      </w:r>
    </w:p>
    <w:p>
      <w:pPr>
        <w:pStyle w:val="MainText"/>
        <w:spacing w:before="120" w:after="0"/>
        <w:rPr>
          <w:lang w:val="el" w:eastAsia="el"/>
        </w:rPr>
      </w:pPr>
      <w:r>
        <w:rPr>
          <w:b/>
          <w:bCs/>
          <w:lang w:val="el" w:eastAsia="el"/>
        </w:rPr>
        <w:t>3.</w:t>
      </w:r>
      <w:r>
        <w:rPr>
          <w:lang w:val="el" w:eastAsia="el"/>
        </w:rPr>
        <w:t xml:space="preserve"> Αρμόδια υπηρεσία για την διεκπεραίωση της ψηφιακής διαδικασίας είναι η Υπηρεσία Μεταφορών της Περιφέρειας όπου έχει εκδοθεί η άδεια κυκλοφορίας του ΦΙΧ.</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Αυθεντικοποίηση για χρήση</w:t>
      </w:r>
    </w:p>
    <w:p>
      <w:pPr>
        <w:spacing w:before="240" w:after="240"/>
        <w:rPr>
          <w:lang w:val="el" w:eastAsia="el"/>
        </w:rPr>
      </w:pPr>
      <w:r>
        <w:rPr>
          <w:lang w:val="el" w:eastAsia="el"/>
        </w:rPr>
        <w:t>της ηλεκτρονικής εφαρμογής</w:t>
      </w:r>
    </w:p>
    <w:p>
      <w:pPr>
        <w:spacing w:before="240" w:after="240"/>
        <w:rPr>
          <w:lang w:val="el" w:eastAsia="el"/>
        </w:rPr>
      </w:pPr>
      <w:r>
        <w:rPr>
          <w:lang w:val="el" w:eastAsia="el"/>
        </w:rPr>
        <w:t>και αυτεπάγγελτη αναζήτηση δικαιολογητικών</w:t>
      </w:r>
    </w:p>
    <w:p>
      <w:pPr>
        <w:pStyle w:val="MainText"/>
        <w:spacing w:before="120" w:after="0"/>
        <w:rPr>
          <w:lang w:val="el" w:eastAsia="el"/>
        </w:rPr>
      </w:pPr>
      <w:r>
        <w:rPr>
          <w:b/>
          <w:bCs/>
          <w:lang w:val="el" w:eastAsia="el"/>
        </w:rPr>
        <w:t>1.</w:t>
      </w:r>
      <w:r>
        <w:rPr>
          <w:lang w:val="el" w:eastAsia="el"/>
        </w:rPr>
        <w:t xml:space="preserve"> Για την πρόσβαση στην ηλεκτρονική εφαρμογή της παρ. 1 του άρθρου 1 απαιτείται προηγούμενη ταυτοποίηση και αυθεντικοποίηση του πωλητή και του αγοραστή με τη χρήση των κωδικών - διαπιστευτηρίων της Γενικής Γραμματείας Πληροφοριακών Συστημάτων και Ψηφιακής Διακυβέρνησης (Γ.Γ.Π.Σ.Ψ.Δ.) του Υπουργείου Ψηφιακής Διακυβέρνησης, σύμφωνα με τα άρθρα 24 και 25 ν. 4727/2020 (Α’ 184). Τα στοιχεία του πωλητή και του αγοραστή επιβεβαιώνονται με χρήση των διαδικτυακών υπηρεσιών «Πληροφορίες Φορολογικού Μητρώου (Α.Α.Δ.Ε.)».</w:t>
      </w:r>
    </w:p>
    <w:p>
      <w:pPr>
        <w:pStyle w:val="MainText"/>
        <w:spacing w:before="120" w:after="0"/>
        <w:rPr>
          <w:lang w:val="el" w:eastAsia="el"/>
        </w:rPr>
      </w:pPr>
      <w:r>
        <w:rPr>
          <w:b/>
          <w:bCs/>
          <w:lang w:val="el" w:eastAsia="el"/>
        </w:rPr>
        <w:t>2.</w:t>
      </w:r>
      <w:r>
        <w:rPr>
          <w:lang w:val="el" w:eastAsia="el"/>
        </w:rPr>
        <w:t xml:space="preserve"> Στην ηλεκτρονική εφαρμογή διατίθενται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(Γ.Γ.Π.Σ.Ψ.Δ.), σύμφωνα με το άρθρο 47 του ν. 4623/2019 (Α’ 134) και το άρθρο 84 του ν. 4727/2020 (Α’ 184), τα ακόλουθα δεδομένα:</w:t>
      </w:r>
    </w:p>
    <w:p>
      <w:pPr>
        <w:spacing w:before="240" w:after="240"/>
        <w:rPr>
          <w:lang w:val="el" w:eastAsia="el"/>
        </w:rPr>
      </w:pPr>
      <w:r>
        <w:rPr>
          <w:lang w:val="el" w:eastAsia="el"/>
        </w:rPr>
        <w:t>(α) Στοιχεία οχημάτων του Υπουργείου Υποδομών και Μεταφορών,</w:t>
      </w:r>
    </w:p>
    <w:p>
      <w:pPr>
        <w:spacing w:before="240" w:after="240"/>
        <w:rPr>
          <w:lang w:val="el" w:eastAsia="el"/>
        </w:rPr>
      </w:pPr>
      <w:r>
        <w:rPr>
          <w:lang w:val="el" w:eastAsia="el"/>
        </w:rPr>
        <w:t>(β) στοιχεία Τελών Κυκλοφορίας της Ανεξάρτητης Αρχής Δημοσίων Εσόδων (ΑΑΔΕ),</w:t>
      </w:r>
    </w:p>
    <w:p>
      <w:pPr>
        <w:spacing w:before="240" w:after="240"/>
        <w:rPr>
          <w:lang w:val="el" w:eastAsia="el"/>
        </w:rPr>
      </w:pPr>
      <w:r>
        <w:rPr>
          <w:lang w:val="el" w:eastAsia="el"/>
        </w:rPr>
        <w:t>(γ) στοιχεία για τον τεχνικό έλεγχο οχημάτων του Υπουργείου Υποδομών και Μεταφορών προκειμένου να αξιοποιηθούν από τις Υπηρεσίες Μεταφορών των Περιφερειών της Χώρας στο πλαίσιο της αυτεπάγγελτης αναζήτησης δικαιολογητικών.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αίτησης και δικαιολογητικών</w:t>
      </w:r>
    </w:p>
    <w:p>
      <w:pPr>
        <w:pStyle w:val="MainText"/>
        <w:spacing w:before="120" w:after="0"/>
        <w:rPr>
          <w:lang w:val="el" w:eastAsia="el"/>
        </w:rPr>
      </w:pPr>
      <w:r>
        <w:rPr>
          <w:b/>
          <w:bCs/>
          <w:lang w:val="el" w:eastAsia="el"/>
        </w:rPr>
        <w:t>1.</w:t>
      </w:r>
      <w:r>
        <w:rPr>
          <w:lang w:val="el" w:eastAsia="el"/>
        </w:rPr>
        <w:t xml:space="preserve"> Η αίτηση μεταβίβασης του ΦΙΧ υποβάλλεται ψηφιακά από τον πωλητή και επέχει θέση υπεύθυνης δήλωσης του άρθρου 8 του ν. 1599/1986 (Α’ 75). Στην αίτηση μεταβίβασης επισυνάπτονται από τον πωλητή τα ακόλουθα δικαιολογητικά, και συγκεκριμένα:</w:t>
      </w:r>
    </w:p>
    <w:p>
      <w:pPr>
        <w:spacing w:before="240" w:after="240"/>
        <w:rPr>
          <w:lang w:val="el" w:eastAsia="el"/>
        </w:rPr>
      </w:pPr>
      <w:r>
        <w:rPr>
          <w:lang w:val="el" w:eastAsia="el"/>
        </w:rPr>
        <w:t>(α) Αποδεικτικό ασφαλιστικής ενημερότητας του πωλητή ή βεβαίωση καταχώρισης υπεύθυνης δήλωσης εξαίρεσης από τον e-ΕΦΚΑ, όπως προβλέπεται στη νομοθεσία κοινωνικής ασφάλισης.</w:t>
      </w:r>
    </w:p>
    <w:p>
      <w:pPr>
        <w:spacing w:before="240" w:after="240"/>
        <w:rPr>
          <w:lang w:val="el" w:eastAsia="el"/>
        </w:rPr>
      </w:pPr>
      <w:r>
        <w:rPr>
          <w:lang w:val="el" w:eastAsia="el"/>
        </w:rPr>
        <w:t>(β) Δήλωση υπεραξίας θεωρημένη από τη ΔΟΥ και αποδεικτικό πληρωμής φόρου μεταβίβασης ή έγγραφο από το οποίο αποδεικνύεται η νόμιμη απαλλαγή από τον φόρο μεταβίβασης.</w:t>
      </w:r>
    </w:p>
    <w:p>
      <w:pPr>
        <w:spacing w:before="240" w:after="240"/>
        <w:rPr>
          <w:lang w:val="el" w:eastAsia="el"/>
        </w:rPr>
      </w:pPr>
      <w:r>
        <w:rPr>
          <w:lang w:val="el" w:eastAsia="el"/>
        </w:rPr>
        <w:t>(γ) Τιμολόγιο πώλησης του φορτηγού αυτοκινήτου, εάν έχει εκδοθεί τιμολόγιο που υπόκειται σε Φόρο Προστιθέμενης Αξίας (ΦΠΑ).</w:t>
      </w:r>
    </w:p>
    <w:p>
      <w:pPr>
        <w:pStyle w:val="MainText"/>
        <w:spacing w:before="120" w:after="0"/>
        <w:rPr>
          <w:lang w:val="el" w:eastAsia="el"/>
        </w:rPr>
      </w:pPr>
      <w:r>
        <w:rPr>
          <w:b/>
          <w:bCs/>
          <w:lang w:val="el" w:eastAsia="el"/>
        </w:rPr>
        <w:t>2.</w:t>
      </w:r>
      <w:r>
        <w:rPr>
          <w:lang w:val="el" w:eastAsia="el"/>
        </w:rPr>
        <w:t xml:space="preserve"> Μετά την καταχώριση της αίτησης μεταβίβασης από τον πωλητή σύμφωνα με την παρ. 1, ο αγοραστής υποβάλλει αίτηση που επέχει θέση υπεύθυνης δήλωσης του άρθρου 8 του ν. 1599/1986 (Α’ 75), με την οποία αποδέχεται:</w:t>
      </w:r>
    </w:p>
    <w:p>
      <w:pPr>
        <w:spacing w:before="240" w:after="240"/>
        <w:rPr>
          <w:lang w:val="el" w:eastAsia="el"/>
        </w:rPr>
      </w:pPr>
      <w:r>
        <w:rPr>
          <w:lang w:val="el" w:eastAsia="el"/>
        </w:rPr>
        <w:t>(α) Την μεταβίβαση σε αυτόν του φορτηγού αυτοκινήτου,</w:t>
      </w:r>
    </w:p>
    <w:p>
      <w:pPr>
        <w:spacing w:before="240" w:after="240"/>
        <w:rPr>
          <w:lang w:val="el" w:eastAsia="el"/>
        </w:rPr>
      </w:pPr>
      <w:r>
        <w:rPr>
          <w:lang w:val="el" w:eastAsia="el"/>
        </w:rPr>
        <w:t>(β) τα στοιχεία της αίτησης μεταβίβασης που υπέβαλε ο πωλητής τα οποία αφορούν τον ίδιο.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Ολοκλήρωση της μεταβίβασης</w:t>
      </w:r>
    </w:p>
    <w:p>
      <w:pPr>
        <w:pStyle w:val="MainText"/>
        <w:spacing w:before="120" w:after="0"/>
        <w:rPr>
          <w:lang w:val="el" w:eastAsia="el"/>
        </w:rPr>
      </w:pPr>
      <w:r>
        <w:rPr>
          <w:b/>
          <w:bCs/>
          <w:lang w:val="el" w:eastAsia="el"/>
        </w:rPr>
        <w:t>1.</w:t>
      </w:r>
      <w:r>
        <w:rPr>
          <w:lang w:val="el" w:eastAsia="el"/>
        </w:rPr>
        <w:t xml:space="preserve"> Μετά την υποβολή των αιτήσεων - υπευθύνων δηλώσεων αγοραστή και πωλητή οι ενδιαφερόμενοι προσέρχονται στην αρμόδια Υπηρεσία Μεταφορών της Περιφέρειας για την ολοκλήρωση της διαδικασίας μεταβίβασης, προσκομίζοντας:</w:t>
      </w:r>
    </w:p>
    <w:p>
      <w:pPr>
        <w:spacing w:before="240" w:after="240"/>
        <w:rPr>
          <w:lang w:val="el" w:eastAsia="el"/>
        </w:rPr>
      </w:pPr>
      <w:r>
        <w:rPr>
          <w:lang w:val="el" w:eastAsia="el"/>
        </w:rPr>
        <w:t>(α) Την ισχύουσα άδεια κυκλοφορίας, στην οικεία θέση της οποίας καταχωρίζεται από τα μέρη ενώπιον του αρμόδιου υπαλλήλου η έγγραφη συμφωνία τους για τη μεταβίβαση της κυριότητας.</w:t>
      </w:r>
    </w:p>
    <w:p>
      <w:pPr>
        <w:spacing w:before="240" w:after="240"/>
        <w:rPr>
          <w:lang w:val="el" w:eastAsia="el"/>
        </w:rPr>
      </w:pPr>
      <w:r>
        <w:rPr>
          <w:lang w:val="el" w:eastAsia="el"/>
        </w:rPr>
        <w:t>(β) Τις κρατικές πινακίδες κυκλοφορίας του φορτηγού αυτοκινήτου.</w:t>
      </w:r>
    </w:p>
    <w:p>
      <w:pPr>
        <w:spacing w:before="240" w:after="240"/>
        <w:rPr>
          <w:lang w:val="el" w:eastAsia="el"/>
        </w:rPr>
      </w:pPr>
      <w:r>
        <w:rPr>
          <w:lang w:val="el" w:eastAsia="el"/>
        </w:rPr>
        <w:t>(γ) Αποδεικτικό πληρωμής του τέλους μεταβίβασης του άρθρου 27 ν. 2873/2000 (Α’ 285), εφ’ όσον υπάρχει σχετική υποχρέωση. Αυτό το δικαιολογητικό προσκομίζεται στις περιπτώσεις που η Περιφέρεια δεν έχει ενταχθεί στις ηλεκτρονικές πληρωμές μέσω του Διατραπεζικού Συστήματος (ΔΙΑΣ), οπότε το τέλος έχει καταβληθεί με κωδικό πληρωμής (RF).</w:t>
      </w:r>
    </w:p>
    <w:p>
      <w:pPr>
        <w:pStyle w:val="MainText"/>
        <w:spacing w:before="120" w:after="0"/>
        <w:rPr>
          <w:lang w:val="el" w:eastAsia="el"/>
        </w:rPr>
      </w:pPr>
      <w:r>
        <w:rPr>
          <w:b/>
          <w:bCs/>
          <w:lang w:val="el" w:eastAsia="el"/>
        </w:rPr>
        <w:t>2.</w:t>
      </w:r>
      <w:r>
        <w:rPr>
          <w:lang w:val="el" w:eastAsia="el"/>
        </w:rPr>
        <w:t xml:space="preserve"> Η Υπηρεσία Μεταφορών της Περιφέρειας:</w:t>
      </w:r>
    </w:p>
    <w:p>
      <w:pPr>
        <w:spacing w:before="240" w:after="240"/>
        <w:rPr>
          <w:lang w:val="el" w:eastAsia="el"/>
        </w:rPr>
      </w:pPr>
      <w:r>
        <w:rPr>
          <w:lang w:val="el" w:eastAsia="el"/>
        </w:rPr>
        <w:t>(α) Παραλαμβάνει και ελέγχει τα δικαιολογητικά της προηγούμενης παραγράφου και τα δικαιολογητικά που υποβλήθηκαν μέσω του ηλεκτρονικού συστήματος της παρ. 1 του άρθρου 1.</w:t>
      </w:r>
    </w:p>
    <w:p>
      <w:pPr>
        <w:spacing w:before="240" w:after="240"/>
        <w:rPr>
          <w:lang w:val="el" w:eastAsia="el"/>
        </w:rPr>
      </w:pPr>
      <w:r>
        <w:rPr>
          <w:lang w:val="el" w:eastAsia="el"/>
        </w:rPr>
        <w:t>(β) Επικυρώνει την συμφωνία μεταβίβασης που καταχωρήθηκε στην άδεια κυκλοφορίας και τηρεί την παλαιά άδεια κυκλοφορίας στο αρχείο της. Αντίγραφο της άδειας κυκλοφορίας με τη συμφωνία των μερών χορηγείται στον αγοραστή και τον πωλητή.</w:t>
      </w:r>
    </w:p>
    <w:p>
      <w:pPr>
        <w:spacing w:before="240" w:after="240"/>
        <w:rPr>
          <w:lang w:val="el" w:eastAsia="el"/>
        </w:rPr>
      </w:pPr>
      <w:r>
        <w:rPr>
          <w:lang w:val="el" w:eastAsia="el"/>
        </w:rPr>
        <w:t>(γ) Εκδίδει και παραδίδει στον αγοραστή νέο έντυπο άδειας κυκλοφορίας για το φορτηγό αυτοκίνητο που μεταβιβάστηκε, το οποίο φέρει την παρατήρηση «όχι για κυκλοφορία» στο πεδίο παρατηρήσεων. Η άδεια αποτελεί τίτλο κυριότητας για το όχημα σύμφωνα με την διάταξη του άρθρου 128 ν. 4199/2013 (Α’ 216).</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αρχών του Γενικού Κανονισμού για την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Κατά την επεξεργασία δεδομένων προσωπικού χαρακτήρα που πραγματοποιείται σύμφωνα με τις διατάξεις της παρούσας εφαρμόζονται οι αρχές προστασίας των δεδομένων προσωπικού χαρακτήρα που προβλέπονται στον Γενικό Κανονισμό για την Προστασία Δεδομένων (Κανονισμός (ΕΕ) 679/2019) και στον ν. 4624/2019 (Α’ 137) για την προστασία των φυσικών προσώπων έναντι της επεξεργασίας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αυτοτελώς υπεύθυνος επεξεργασίας για την λειτουργία της Ενιαίας Ψηφιακής Πύλης της Δημόσιας Διοίκησης (gov.gr-ΕΨΠ) για τα δεδομένα προσωπικού χαρακτήρα που είναι απαραίτητα για τις υπηρεσίες αυθεντικοποίησης των χρηστών καθώς και τα δεδομένα που διαβιβάζονται μεταξύ δημόσιων φορέων για τις αιτήσεις της παρούσας ψηφιοποιημένης διαδικασίας που υποβάλλονται μέσω της Ενιαίας Ψηφιακής Πύλης της Δημόσιας Διοίκησης (ΕΨΠ-gov.gr)., σύμφωνα με την παρ. 2 του άρθρου 47 του ν. 4623/2019 (Α’ 134) και την παρ. 2 του άρθρου 24 του ν. 4727/2020 (Α’ 184). Οι λοιπές αρχές που πραγματοποιούν επεξεργασία δεδομένων σύμφωνα με τις διατάξεις της παρούσας ορίζονται αυτοτελώς ως υπεύθυνοι επεξεργασίας.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τίθεται σε ισχύ από τη δημοσίευσή της στην Εφημερίδα της Κυβερνήσεως. Η ψηφιακή διαδικασία μεταβίβασης φορτηγού ιδιωτικής χρήσης με ΜΑΜΦΟ έως τέσσερις (4) τόνους τίθεται σε παραγωγική λειτουργία δέκα ημέρες από την έναρξη ισχύος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11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Ψηφιακής</w:t>
      </w:r>
    </w:p>
    <w:p>
      <w:pPr>
        <w:spacing w:before="240" w:after="240"/>
        <w:rPr>
          <w:lang w:val="el" w:eastAsia="el"/>
        </w:rPr>
      </w:pPr>
      <w:r>
        <w:rPr>
          <w:lang w:val="el" w:eastAsia="el"/>
        </w:rPr>
        <w:t>Υποδομών και Μεταφορών Διακυβέρνησης</w:t>
      </w:r>
    </w:p>
    <w:p>
      <w:pPr>
        <w:spacing w:before="240" w:after="240"/>
        <w:rPr>
          <w:lang w:val="el" w:eastAsia="el"/>
        </w:rPr>
      </w:pPr>
      <w:r>
        <w:rPr>
          <w:b/>
          <w:bCs/>
          <w:lang w:val="el" w:eastAsia="el"/>
        </w:rPr>
        <w:t>ΚΩΝΣΤΑΝΤΙΝΟΣ ΔΗΜΗΤΡΙΟΣ</w:t>
      </w:r>
    </w:p>
    <w:p>
      <w:pPr>
        <w:spacing w:before="240" w:after="240"/>
        <w:rPr>
          <w:lang w:val="el" w:eastAsia="el"/>
        </w:rPr>
      </w:pPr>
      <w:r>
        <w:rPr>
          <w:b/>
          <w:bCs/>
          <w:lang w:val="el" w:eastAsia="el"/>
        </w:rPr>
        <w:t>ΚΥΡΑΝΑΚΗΣ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rivers-vehicles.servic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