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42364</w:t>
      </w:r>
    </w:p>
    <w:p>
      <w:pPr>
        <w:pStyle w:val="PreambelText"/>
        <w:spacing w:before="240" w:after="240"/>
        <w:rPr>
          <w:lang w:val="el" w:eastAsia="el"/>
        </w:rPr>
      </w:pPr>
      <w:r>
        <w:rPr>
          <w:b/>
          <w:bCs/>
          <w:lang w:val="el" w:eastAsia="el"/>
        </w:rPr>
        <w:t>Τροποποίηση της υπ’ αρ. 43962/4.6.2024 κοινής υπουργικής απόφασης των Υπουργών Εθνικής Οικονομίας και Οικονομικών, Εσωτερικών, Τουρισμού, Ψηφιακής Διακυβέρνησης και Κλιματικής Κρίσης και Πολιτικής Προστασίας «Ειδική εφαρμογή του Thessaly και του Evros Pass βάσει του άρθρου 37 του ν. 5086/2024 (Α’ 23) Καθορισμός των τεχνικών και οργανωτικών μέτρων για τη λειτουργία της ειδικής εφαρμογής και για την υλοποίηση της Δράσης»(Β’ 3172).</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ΕΣΩΤΕΡΙΚΩΝ - ΤΟΥΡΙΣΜΟΥ -</w:t>
      </w:r>
    </w:p>
    <w:p>
      <w:pPr>
        <w:pStyle w:val="PreambelText"/>
        <w:spacing w:before="240" w:after="240"/>
        <w:rPr>
          <w:lang w:val="el" w:eastAsia="el"/>
        </w:rPr>
      </w:pPr>
      <w:r>
        <w:rPr>
          <w:b/>
          <w:bCs/>
          <w:lang w:val="el" w:eastAsia="el"/>
        </w:rPr>
        <w:t>ΨΗΦΙΑΚΗΣ ΔΙΑΚΥΒΕΡΝΗΣΗΣ -</w:t>
      </w:r>
    </w:p>
    <w:p>
      <w:pPr>
        <w:pStyle w:val="PreambelText"/>
        <w:spacing w:before="240" w:after="240"/>
        <w:rPr>
          <w:lang w:val="el" w:eastAsia="el"/>
        </w:rPr>
      </w:pPr>
      <w:r>
        <w:rPr>
          <w:b/>
          <w:bCs/>
          <w:lang w:val="el" w:eastAsia="el"/>
        </w:rPr>
        <w:t>ΚΛΙΜΑΤΙΚΗΣ ΚΡΙΣΗΣ</w:t>
      </w:r>
    </w:p>
    <w:p>
      <w:pPr>
        <w:pStyle w:val="PreambelText"/>
        <w:spacing w:before="240" w:after="240"/>
        <w:rPr>
          <w:lang w:val="el" w:eastAsia="el"/>
        </w:rPr>
      </w:pPr>
      <w:r>
        <w:rPr>
          <w:b/>
          <w:bCs/>
          <w:lang w:val="el" w:eastAsia="el"/>
        </w:rPr>
        <w:t>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37 του ν. 5086/2024 «Εθνική Αρχή Κυβερνοασφάλειας και λοιπές διατάξεις» (Α’ 23) με το οποίο προστέθηκε το άρθρο 6Β του ν. 4797/2021 (Α’ 66), καθώς και του άρθρου 13 του νόμου αυτού,</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45 του ν. 5082/2024, «Ενίσχυση του Εθνικού Συστήματος Επαγγελματικής Εκπαίδευσης και Κατάρτισης και άλλες επείγουσες διατάξεις» (Α’ 9),</w:t>
      </w:r>
    </w:p>
    <w:p>
      <w:pPr>
        <w:pStyle w:val="StructureList1"/>
        <w:spacing w:before="120" w:after="0"/>
        <w:rPr>
          <w:lang w:val="el" w:eastAsia="el"/>
        </w:rPr>
      </w:pPr>
      <w:r>
        <w:rPr>
          <w:lang w:val="el" w:eastAsia="el"/>
        </w:rPr>
        <w:t>γ)</w:t>
      </w:r>
      <w:r>
        <w:rPr>
          <w:lang w:val="en" w:eastAsia="en"/>
        </w:rPr>
        <w:tab/>
      </w:r>
      <w:r>
        <w:rPr>
          <w:lang w:val="el" w:eastAsia="el"/>
        </w:rPr>
        <w:t>του ν. 5140/2024 «Νέο Αναπτυξιακό Πρόγραμμα Δημοσίων Επενδύσεων και συμπληρωματικές διατάξεις» (Α’ 154),</w:t>
      </w:r>
    </w:p>
    <w:p>
      <w:pPr>
        <w:pStyle w:val="StructureList1"/>
        <w:spacing w:before="120" w:after="0"/>
        <w:rPr>
          <w:lang w:val="el" w:eastAsia="el"/>
        </w:rPr>
      </w:pPr>
      <w:r>
        <w:rPr>
          <w:lang w:val="el" w:eastAsia="el"/>
        </w:rPr>
        <w:t>δ)</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των άρθρων 47 και 58,</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των παρ. 3 και 4 του άρθρου 3 του Κώδικα Διοικητικής Διαδικασίας (ν. 2690/1999 - Α’ 45),</w:t>
      </w:r>
    </w:p>
    <w:p>
      <w:pPr>
        <w:pStyle w:val="StructureList1"/>
        <w:spacing w:before="120" w:after="0"/>
        <w:rPr>
          <w:lang w:val="el" w:eastAsia="el"/>
        </w:rPr>
      </w:pPr>
      <w:r>
        <w:rPr>
          <w:lang w:val="el" w:eastAsia="el"/>
        </w:rPr>
        <w:t>ι)</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ια)</w:t>
      </w:r>
      <w:r>
        <w:rPr>
          <w:lang w:val="en" w:eastAsia="en"/>
        </w:rPr>
        <w:tab/>
      </w:r>
      <w:r>
        <w:rPr>
          <w:lang w:val="el" w:eastAsia="el"/>
        </w:rPr>
        <w:t>του άρθρου 1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ιβ) του ν. 4310/2014 «Έρευνα, Τεχνολογική Ανάπτυξη και Καινοτομία και άλλες διατάξεις» (Α’ 258),</w:t>
      </w:r>
    </w:p>
    <w:p>
      <w:pPr>
        <w:pStyle w:val="StructureList1"/>
        <w:spacing w:before="120" w:after="0"/>
        <w:rPr>
          <w:lang w:val="el" w:eastAsia="el"/>
        </w:rPr>
      </w:pPr>
      <w:r>
        <w:rPr>
          <w:lang w:val="el" w:eastAsia="el"/>
        </w:rPr>
        <w:t>ιγ)</w:t>
      </w:r>
      <w:r>
        <w:rPr>
          <w:lang w:val="en" w:eastAsia="en"/>
        </w:rPr>
        <w:tab/>
      </w:r>
      <w:r>
        <w:rPr>
          <w:lang w:val="el" w:eastAsia="el"/>
        </w:rPr>
        <w:t>της υπό στοιχεία 3/29.3.2021 Πράξης Υπουργική Συμβουλίου (Α’ 56) περί σύστασης και λειτουργίας της ΚΕΚΑ,</w:t>
      </w:r>
    </w:p>
    <w:p>
      <w:pPr>
        <w:pStyle w:val="StructureList1"/>
        <w:spacing w:before="120" w:after="0"/>
        <w:rPr>
          <w:lang w:val="el" w:eastAsia="el"/>
        </w:rPr>
      </w:pPr>
      <w:r>
        <w:rPr>
          <w:lang w:val="el" w:eastAsia="el"/>
        </w:rPr>
        <w:t>ιδ)</w:t>
      </w:r>
      <w:r>
        <w:rPr>
          <w:lang w:val="en" w:eastAsia="en"/>
        </w:rPr>
        <w:tab/>
      </w:r>
      <w:r>
        <w:rPr>
          <w:lang w:val="el" w:eastAsia="el"/>
        </w:rPr>
        <w:t>του π.δ. 32/2024 «Διορισμός Υπουργών και Υφυπουργών» (Α’ 91),</w:t>
      </w:r>
    </w:p>
    <w:p>
      <w:pPr>
        <w:pStyle w:val="StructureList1"/>
        <w:spacing w:before="120" w:after="0"/>
        <w:rPr>
          <w:lang w:val="el" w:eastAsia="el"/>
        </w:rPr>
      </w:pPr>
      <w:r>
        <w:rPr>
          <w:lang w:val="el" w:eastAsia="el"/>
        </w:rPr>
        <w:t>ιε)</w:t>
      </w:r>
      <w:r>
        <w:rPr>
          <w:lang w:val="en" w:eastAsia="en"/>
        </w:rPr>
        <w:tab/>
      </w:r>
      <w:r>
        <w:rPr>
          <w:lang w:val="el" w:eastAsia="el"/>
        </w:rPr>
        <w:t>του π.δ. 27/2025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ιστ)</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ιζ)</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ιη)</w:t>
      </w:r>
      <w:r>
        <w:rPr>
          <w:lang w:val="en" w:eastAsia="en"/>
        </w:rPr>
        <w:tab/>
      </w:r>
      <w:r>
        <w:rPr>
          <w:lang w:val="el" w:eastAsia="el"/>
        </w:rPr>
        <w:t>του π.δ. 82/2023 «Μετονομασία Υπουργείου - Σύσταση και μετονομασία Γενικών Γραμματειών -Μεταφορά αρμοδιοτήτων, υπηρεσιακών μονάδων και θέσεων προσωπικού - Τροποποίηση και συμπλήρωση του π.δ 77/ 2023 (Α’ 130) - Μεταβατικές Διατάξεις»,</w:t>
      </w:r>
    </w:p>
    <w:p>
      <w:pPr>
        <w:pStyle w:val="StructureList1"/>
        <w:spacing w:before="120" w:after="0"/>
        <w:rPr>
          <w:lang w:val="el" w:eastAsia="el"/>
        </w:rPr>
      </w:pPr>
      <w:r>
        <w:rPr>
          <w:lang w:val="el" w:eastAsia="el"/>
        </w:rPr>
        <w:t>ιθ)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κ)</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κα)</w:t>
      </w:r>
      <w:r>
        <w:rPr>
          <w:lang w:val="en" w:eastAsia="en"/>
        </w:rPr>
        <w:tab/>
      </w:r>
      <w:r>
        <w:rPr>
          <w:lang w:val="el" w:eastAsia="el"/>
        </w:rPr>
        <w:t>του π.δ. 127/2017 «Οργανισμός του Υπουργείου Τουρισμού»(Α’ 157),</w:t>
      </w:r>
    </w:p>
    <w:p>
      <w:pPr>
        <w:pStyle w:val="PreambelText"/>
        <w:spacing w:before="240" w:after="240"/>
        <w:rPr>
          <w:lang w:val="el" w:eastAsia="el"/>
        </w:rPr>
      </w:pPr>
      <w:r>
        <w:rPr>
          <w:lang w:val="el" w:eastAsia="el"/>
        </w:rPr>
        <w:t>κβ)του π.δ. 142/2017 «Οργανισμός Υπουργείου Οικονομικών» (Α’ 181),</w:t>
      </w:r>
    </w:p>
    <w:p>
      <w:pPr>
        <w:pStyle w:val="StructureList1"/>
        <w:spacing w:before="120" w:after="0"/>
        <w:rPr>
          <w:lang w:val="el" w:eastAsia="el"/>
        </w:rPr>
      </w:pPr>
      <w:r>
        <w:rPr>
          <w:lang w:val="el" w:eastAsia="el"/>
        </w:rPr>
        <w:t>κγ)</w:t>
      </w:r>
      <w:r>
        <w:rPr>
          <w:lang w:val="en" w:eastAsia="en"/>
        </w:rPr>
        <w:tab/>
      </w:r>
      <w:r>
        <w:rPr>
          <w:lang w:val="el" w:eastAsia="el"/>
        </w:rPr>
        <w:t>του π.δ. 133/2017 Οργανισμός του Υπουργείου Διοικητικής Ανασυγκρότησης» (Α’ 161),</w:t>
      </w:r>
    </w:p>
    <w:p>
      <w:pPr>
        <w:pStyle w:val="StructureList1"/>
        <w:spacing w:before="120" w:after="0"/>
        <w:rPr>
          <w:lang w:val="el" w:eastAsia="el"/>
        </w:rPr>
      </w:pPr>
      <w:r>
        <w:rPr>
          <w:lang w:val="el" w:eastAsia="el"/>
        </w:rPr>
        <w:t>κδ)</w:t>
      </w:r>
      <w:r>
        <w:rPr>
          <w:lang w:val="en" w:eastAsia="en"/>
        </w:rPr>
        <w:tab/>
      </w:r>
      <w:r>
        <w:rPr>
          <w:lang w:val="el" w:eastAsia="el"/>
        </w:rPr>
        <w:t>του π.δ. 141/2017 «Οργανισμός Υπουργείου Εσωτερικών» (Α’ 180).</w:t>
      </w:r>
    </w:p>
    <w:p>
      <w:pPr>
        <w:pStyle w:val="PreambelText"/>
        <w:spacing w:before="240" w:after="240"/>
        <w:rPr>
          <w:lang w:val="el" w:eastAsia="el"/>
        </w:rPr>
      </w:pPr>
      <w:r>
        <w:rPr>
          <w:lang w:val="el" w:eastAsia="el"/>
        </w:rPr>
        <w:t>2. Το καταστατικό της ΕΔΥΤΕ όπως ισχύει, τροποποιημένο και κωδικοποιημένο με την απόφαση της από 09/09/2024 Τακτικής Γενικής Συνέλευσης (Πρακτικό 58) και καταχωρήθηκε στο ΓΕΜΗ την 25/09/2024 με Κωδικό Καταχώρισης 4459529, σύμφωνα με την από 25/09/2024 και υπ’ αρ. 3381099 Ανακοίνωση Καταχώρισης του ΕΒΕΑ.</w:t>
      </w:r>
    </w:p>
    <w:p>
      <w:pPr>
        <w:pStyle w:val="PreambelText"/>
        <w:spacing w:before="240" w:after="240"/>
        <w:rPr>
          <w:lang w:val="el" w:eastAsia="el"/>
        </w:rPr>
      </w:pPr>
      <w:r>
        <w:rPr>
          <w:lang w:val="el" w:eastAsia="el"/>
        </w:rPr>
        <w:t>3. Tην υπό στοιχεία ΥΠ 614/24.3.2025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 1400).</w:t>
      </w:r>
    </w:p>
    <w:p>
      <w:pPr>
        <w:pStyle w:val="PreambelText"/>
        <w:spacing w:before="240" w:after="240"/>
        <w:rPr>
          <w:lang w:val="el" w:eastAsia="el"/>
        </w:rPr>
      </w:pPr>
      <w:r>
        <w:rPr>
          <w:lang w:val="el" w:eastAsia="el"/>
        </w:rPr>
        <w:t>4.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5. Την υπό στοιχεία 47542 ΕΞ 2025/19.03.2025 κοινή απόφαση του Πρωθυπουργού και του Υπουργού Εθνικής Οικονομίας και Οικονομικών «Ανάθεση αρμοδιοτήτων στον Υφυπουργό Οικονομίας και Οικονομικών, Γεώργιο Κώτσηρα» (Β’ 1327).</w:t>
      </w:r>
    </w:p>
    <w:p>
      <w:pPr>
        <w:pStyle w:val="PreambelText"/>
        <w:spacing w:before="240" w:after="240"/>
        <w:rPr>
          <w:lang w:val="el" w:eastAsia="el"/>
        </w:rPr>
      </w:pPr>
      <w:r>
        <w:rPr>
          <w:lang w:val="el" w:eastAsia="el"/>
        </w:rPr>
        <w:t>6. Την υπ’ αρ. 948/19.6.2024 κοινή απόφαση του Πρωθυπουργού και του Υπουργού Εσωτερικών «Ανάθεση αρμοδιοτήτων στον Υφυπουργό Εσωτερικών, Βασίλειο- Πέτρο Σπανάκη» (Β’ 3716).</w:t>
      </w:r>
    </w:p>
    <w:p>
      <w:pPr>
        <w:pStyle w:val="PreambelText"/>
        <w:spacing w:before="240" w:after="240"/>
        <w:rPr>
          <w:lang w:val="el" w:eastAsia="el"/>
        </w:rPr>
      </w:pPr>
      <w:r>
        <w:rPr>
          <w:lang w:val="el" w:eastAsia="el"/>
        </w:rPr>
        <w:t>7.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8. Την υπό στοιχεία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9. Την υπό στοιχεία 24596 ΕΞ/18.05.2023 κοινή απόφαση του Υπουργού Επικρατείας και του Υφυπουργού Ψηφιακής Διακυβέρνησης «Αντικατάσταση της υπό στοιχεία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10. Την από 12.6.2025 εισήγηση της Κυβερνητικής Επιτροπής Κρατικής Αρωγής (Κ.Ε.Κ.Α).</w:t>
      </w:r>
    </w:p>
    <w:p>
      <w:pPr>
        <w:pStyle w:val="PreambelText"/>
        <w:spacing w:before="240" w:after="240"/>
        <w:rPr>
          <w:lang w:val="el" w:eastAsia="el"/>
        </w:rPr>
      </w:pPr>
      <w:r>
        <w:rPr>
          <w:lang w:val="el" w:eastAsia="el"/>
        </w:rPr>
        <w:t>11. Το από 04/06/2025 με υπ’ αρ. 9133 έγγραφο της της Τράπεζας Eurobank με το οποίο πιστοποιείται ότι το σύνολο του ποσού που δαπανήθηκε από τους δικαιούχους κατά τη δράση του έτους 2024 στο πλαίσιο των προγραμμάτων «ThessalyPass Α 2024», «ThessalyPass Β 2024» και «EvrosPass 2024» ανέρχεται συνολικά στο ποσό των 2.439.288,98 €.</w:t>
      </w:r>
    </w:p>
    <w:p>
      <w:pPr>
        <w:pStyle w:val="PreambelText"/>
        <w:spacing w:before="240" w:after="240"/>
        <w:rPr>
          <w:lang w:val="el" w:eastAsia="el"/>
        </w:rPr>
      </w:pPr>
      <w:r>
        <w:rPr>
          <w:lang w:val="el" w:eastAsia="el"/>
        </w:rPr>
        <w:t>12. Το γεγονός ότι η χρηματοδότηση για την επιχορήγηση των δικαιούχων για τη δράση του έτους 2024 στο πλαίσιο των προγραμμάτων «ThessalyPass Α 2024», «ThessalyPass Β 2024» και «EvrosPass 2024» ανερχόταν στο ποσό των 4.450.000,00 € στο πλαίσιο του Υποέργου 1 της πράξης «Άυλες ψηφιακές κάρτες για τη στήριξη του Τουρισμού - EvrosPass 2024 και ThessalyPass 2024», με κωδικό ΟΠΣ 5224009, με ενάριθμο 2024ΝΑ16300002 που έχει ενταχθεί στο «ΤΠΑ ΨΗΦΙΑΚΗΣ ΔΙΑΚΥΒΕΡΝΗΣΗΣ 2021-2025» με την υπό στοιχεία ΓΔΟΔΥ/256/2024 (ΑΔΑ: 6ΑΙ346ΜΤΛΠ-3ΔΕ).</w:t>
      </w:r>
    </w:p>
    <w:p>
      <w:pPr>
        <w:pStyle w:val="PreambelText"/>
        <w:spacing w:before="240" w:after="240"/>
        <w:rPr>
          <w:lang w:val="el" w:eastAsia="el"/>
        </w:rPr>
      </w:pPr>
      <w:r>
        <w:rPr>
          <w:lang w:val="el" w:eastAsia="el"/>
        </w:rPr>
        <w:t>13. Το σύνολο των αδιάθετων ποσών που ανέρχονται στο ποσό 2.010.711,02€ που προκύπτει από τα ανωτέρω σημεία 10. και 11. και έχουν επιστραφεί από την Τράπεζα Eurobank στον λογαριασμό του Φορέα Υλοποίησης ΕΔΥΤΕ Α.Ε. κατ’ εφαρμογή της παρ. 7 του άρθρου 12 της υπ’ αρ. 43962/4.6.2024 κοινής υπουργικής απόφασης.</w:t>
      </w:r>
    </w:p>
    <w:p>
      <w:pPr>
        <w:pStyle w:val="PreambelText"/>
        <w:spacing w:before="240" w:after="240"/>
        <w:rPr>
          <w:lang w:val="el" w:eastAsia="el"/>
        </w:rPr>
      </w:pPr>
      <w:r>
        <w:rPr>
          <w:lang w:val="el" w:eastAsia="el"/>
        </w:rPr>
        <w:t>14. Το γεγονός ότι η χρηματοδότηση των προγραμμάτων «ThessalyPass Α 2025», «ThessalyPass Β 2025» και «EvrosPass 2025» για την υλοποίηση του έργου και την επιχορήγηση των δικαιούχων θα γίνει από το αδιάθετο ποσό που προέκυψε από τη δράση του έτους 2024 στο πλαίσιο των προγραμμάτων «ThessalyPass Α 2024», «ThessalyPass Β 2024» και «EvrosPass 2024» και από το σύνολο των φάσεων.</w:t>
      </w:r>
    </w:p>
    <w:p>
      <w:pPr>
        <w:pStyle w:val="PreambelText"/>
        <w:spacing w:before="240" w:after="240"/>
        <w:rPr>
          <w:lang w:val="el" w:eastAsia="el"/>
        </w:rPr>
      </w:pPr>
      <w:r>
        <w:rPr>
          <w:lang w:val="el" w:eastAsia="el"/>
        </w:rPr>
        <w:t>15. Την υπ’ αρ. 43962/4.6.2024 (Β’ 3172) κοινή απόφαση των Υπουργών Εθνικής Οικονομίας και Οικονομικών, Εσωτερικών, Τουρισμού, Ψηφιακής Διακυβέρνησης, Κλιματικής Κρίσης και Πολιτικής Προστασίας.</w:t>
      </w:r>
    </w:p>
    <w:p>
      <w:pPr>
        <w:pStyle w:val="PreambelText"/>
        <w:spacing w:before="240" w:after="240"/>
        <w:rPr>
          <w:lang w:val="el" w:eastAsia="el"/>
        </w:rPr>
      </w:pPr>
      <w:r>
        <w:rPr>
          <w:lang w:val="el" w:eastAsia="el"/>
        </w:rPr>
        <w:t>16. Την υπ’ αρ. 80425/30.10.2024 (Β’ 6009) κοινή υπουργική απόφαση περί τροποποίησης της υπ’ αρ. 43962/4.6.2024 κοινής απόφασης των Υπουργών Εθνικής Οικονομίας και Οικονομικών, Εσωτερικών, Τουρισμού, Ψηφιακής Διακυβέρνησης και Κλιματικής Κρίσης και Πολιτικής Προστασίας «Ειδική εφαρμογή του Thessaly και του Evros Pass βάσει του άρθρου 37 του ν. 5086/2024 (Α’ 23) Καθορισμός των τεχνικών και οργανωτικών μέτρων για τη λειτουργία της ειδικής εφαρμογής και για την υλοποίηση της Δράσης» (Β’ 3172).</w:t>
      </w:r>
    </w:p>
    <w:p>
      <w:pPr>
        <w:pStyle w:val="PreambelText"/>
        <w:spacing w:before="240" w:after="240"/>
        <w:rPr>
          <w:lang w:val="el" w:eastAsia="el"/>
        </w:rPr>
      </w:pPr>
      <w:r>
        <w:rPr>
          <w:lang w:val="el" w:eastAsia="el"/>
        </w:rPr>
        <w:t>17. Το γεγονός ότι με την παρούσα δεν προκαλείται επιπλέον δημοσιονομική επιβάρυνση εις βάρος των πιστώσεων του προϋπολογισμού του ΠΔΕ και του Μ.Π.Δ.Σ. πέραν της αναφερόμενης στην τροποποιούμενη κοινή υπουργική απόφαση, και εν γένει δεν προκαλείται δαπάνη στον Κρατικό Προϋπολογισμό.</w:t>
      </w:r>
    </w:p>
    <w:p>
      <w:pPr>
        <w:pStyle w:val="PreambelText"/>
        <w:spacing w:before="240" w:after="240"/>
        <w:rPr>
          <w:lang w:val="el" w:eastAsia="el"/>
        </w:rPr>
      </w:pPr>
      <w:r>
        <w:rPr>
          <w:lang w:val="el" w:eastAsia="el"/>
        </w:rPr>
        <w:t>18. Το γεγονός ότι με τις διατάξεις της παρούσας τροποποιείται η διοικητική διαδικασία με επίσημο τίτλο «Ενίσχυση για την οικονομική στήριξη της τουριστικής δραστηριότητας τφων πληγεισών περιοχών της Θεσσαλίας και του Έβρου (Thessaly - Evros Pass 2024)» και Μοναδικό Αριθμό Καταχώρισης (Μ.Α.Κ.) στο ΕΜΔΔ «Μίτος» «488596»,</w:t>
      </w:r>
    </w:p>
    <w:p>
      <w:pPr>
        <w:pStyle w:val="PreambelText"/>
        <w:spacing w:before="240" w:after="240"/>
        <w:rPr>
          <w:lang w:val="el" w:eastAsia="el"/>
        </w:rPr>
      </w:pPr>
      <w:r>
        <w:rPr>
          <w:lang w:val="el" w:eastAsia="el"/>
        </w:rPr>
        <w:t>αποφασίζουμε την τροποποίηση της υπό στοιχεία 43962/4.6.2024 (Β’ 3172) κοινής απόφασης των Υπουργών Εθνικής Οικονομίας και Οικονομικών, Εσωτερικών, Τουρισμού, Ψηφιακής Διακυβέρνησης και Κλιματικής Κρίσης και Πολιτικής Προστασίας «Ειδική εφαρμογή του Thessaly και του Evros Pass βάσει του άρθρου 37 του ν. 5086/2024 (Α’ 23) Καθορισμός των τεχνικών και οργανωτικών μέτρων για τη λειτουργία της ειδικής εφαρμογής και για την υλοποίηση της Δράσης», όπως τροποποιήθηκε με την υπ’ αρ. 80425/30.10.2024 (Β’ 6009) κοινή υπουργική απόφαση και ισχύει, ως κατωτέρω:</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παρ. 3 του άρθρου 1 «Αντικείμενο και πεδίο εφαρμογής» τροποποιείται ως εξής:</w:t>
      </w:r>
    </w:p>
    <w:p>
      <w:pPr>
        <w:spacing w:before="240" w:after="240"/>
        <w:rPr>
          <w:lang w:val="el" w:eastAsia="el"/>
        </w:rPr>
      </w:pPr>
      <w:r>
        <w:rPr>
          <w:lang w:val="el" w:eastAsia="el"/>
        </w:rPr>
        <w:t>«3. Για τους σκοπούς της παρούσας, η δράση του έτους 2024 περιλαμβάνει τα προγράμματα, «ThessalyPass Α 2024», «ThessalyPass Β 2024» και «EvrosPass 2024», ενώ η δράση του έτους 2025 περιλαμβάνει τα προγράμματα, «ThessalyPass Α 2025», «ThessalyPass Β 2025» και «EvrosPass 2025», αντίστοιχα».</w:t>
      </w:r>
    </w:p>
    <w:p>
      <w:pPr>
        <w:pStyle w:val="MainText"/>
        <w:spacing w:before="120" w:after="0"/>
        <w:rPr>
          <w:lang w:val="el" w:eastAsia="el"/>
        </w:rPr>
      </w:pPr>
      <w:r>
        <w:rPr>
          <w:b/>
          <w:bCs/>
          <w:lang w:val="el" w:eastAsia="el"/>
        </w:rPr>
        <w:t>2.</w:t>
      </w:r>
      <w:r>
        <w:rPr>
          <w:lang w:val="el" w:eastAsia="el"/>
        </w:rPr>
        <w:t xml:space="preserve"> Το άρθρο 2 «Δικαιούχοιωφελούμενοι της δράσης- Αποκλεισμοί» τροποποιείται ως εξής:</w:t>
      </w:r>
    </w:p>
    <w:p>
      <w:pPr>
        <w:spacing w:before="240" w:after="240"/>
        <w:rPr>
          <w:lang w:val="el" w:eastAsia="el"/>
        </w:rPr>
      </w:pPr>
      <w:r>
        <w:rPr>
          <w:lang w:val="el" w:eastAsia="el"/>
        </w:rPr>
        <w:t>Α. Στην παρ. 1, μετά το πρώτο εδάφιο, προστίθεται το εξής εδάφιο: «Ως «Δικαιούχοι» των προγραμμάτων «ThessalyPass Α 2025», «ThessalyPass Β 2025» και «EvrosPass 2025», ορίζονται όλα τα ενήλικα φυσικά πρόσωπα άγαμα ή έγγαμα ή σε κατάσταση χηρείας ή πρόσωπα που έχουν συνάψει σύμφωνο συμβίωσης, τα οποία είναι φορολογικοί κάτοικοι Ελλάδος, με βάση την τελευταία εκκαθαρισμένη δήλωση φορολογίας εισοδήματος φυσικών προσώπων για το φορολογικό έτος 2023».</w:t>
      </w:r>
    </w:p>
    <w:p>
      <w:pPr>
        <w:spacing w:before="240" w:after="240"/>
        <w:rPr>
          <w:lang w:val="el" w:eastAsia="el"/>
        </w:rPr>
      </w:pPr>
      <w:r>
        <w:rPr>
          <w:lang w:val="el" w:eastAsia="el"/>
        </w:rPr>
        <w:t>Β. Μετά την παρ. 2 προστίθεται παρ. 2Α ως εξής: «2A. Ως «Ωφελούμενοι» των δικαιούχων των προγραμμάτων «ThessalyPass Α 2025», «ThessalyPass Β 2025» και «EvrosPass 2025», ορίζονται:</w:t>
      </w:r>
    </w:p>
    <w:p>
      <w:pPr>
        <w:pStyle w:val="StructureList1"/>
        <w:spacing w:before="120" w:after="0"/>
        <w:rPr>
          <w:lang w:val="el" w:eastAsia="el"/>
        </w:rPr>
      </w:pPr>
      <w:r>
        <w:rPr>
          <w:lang w:val="el" w:eastAsia="el"/>
        </w:rPr>
        <w:t>α)</w:t>
      </w:r>
      <w:r>
        <w:rPr>
          <w:lang w:val="en" w:eastAsia="en"/>
        </w:rPr>
        <w:tab/>
      </w:r>
      <w:r>
        <w:rPr>
          <w:lang w:val="el" w:eastAsia="el"/>
        </w:rPr>
        <w:t>τα ενήλικα τέκνα του δικαιούχου που δηλώνονται ως εξαρτώμενα μέλη στην τελευταία εκκαθαρισμένη δήλωση φορολογίας εισοδήματος φυσικών προσώπων για το φορολογικό έτος 2023 και β) ο/η σύζυγος του δικαιούχου ή το πρόσωπο που έχει συνάψει σύμφωνο συμβίωσης με αυτόν».</w:t>
      </w:r>
    </w:p>
    <w:p>
      <w:pPr>
        <w:spacing w:before="240" w:after="240"/>
        <w:rPr>
          <w:lang w:val="el" w:eastAsia="el"/>
        </w:rPr>
      </w:pPr>
      <w:r>
        <w:rPr>
          <w:lang w:val="el" w:eastAsia="el"/>
        </w:rPr>
        <w:t>Γ. Μετά την παρ. 5 προστίθεται παρ. 5A ως εξής:</w:t>
      </w:r>
    </w:p>
    <w:p>
      <w:pPr>
        <w:spacing w:before="240" w:after="240"/>
        <w:rPr>
          <w:lang w:val="el" w:eastAsia="el"/>
        </w:rPr>
      </w:pPr>
      <w:r>
        <w:rPr>
          <w:lang w:val="el" w:eastAsia="el"/>
        </w:rPr>
        <w:t>«5Α. Ειδικότερα δεν θεωρούνται δικαιούχοι - ωφελούμενοι της οικονομικής ενίσχυσης για τη δράση του έτους 2025:</w:t>
      </w:r>
    </w:p>
    <w:p>
      <w:pPr>
        <w:spacing w:before="240" w:after="240"/>
        <w:rPr>
          <w:lang w:val="el" w:eastAsia="el"/>
        </w:rPr>
      </w:pPr>
      <w:r>
        <w:rPr>
          <w:lang w:val="el" w:eastAsia="el"/>
        </w:rPr>
        <w:t>α) Οι επιλεγέντες ως δικαιούχοι - ωφελούμενοι στο πλαίσιο του προγράμματος Κοινωνικού Τουρισμού περιόδου 2024-2025 της Δημόσιας Υπηρεσίας Απασχόλησης, ή όσοι επιλεγούν ως δικαιούχοι του προγράμματος Κοινωνικού Τουρισμού περιόδου 2025-2026 της Δημόσιας Υπηρεσίας Απασχόλησης, ανεξαρτήτως από το εάν γίνει τελικά χρήση των ανωτέρω παροχών ή όχι.</w:t>
      </w:r>
    </w:p>
    <w:p>
      <w:pPr>
        <w:spacing w:before="240" w:after="240"/>
        <w:rPr>
          <w:lang w:val="el" w:eastAsia="el"/>
        </w:rPr>
      </w:pPr>
      <w:r>
        <w:rPr>
          <w:lang w:val="el" w:eastAsia="el"/>
        </w:rPr>
        <w:t>β) Οι επιλεγέντες ως δικαιούχοι - ωφελούμενοι συναφούς παροχής από οποιονδήποτε άλλο φορέα για την ίδια χρονική περίοδο.</w:t>
      </w:r>
    </w:p>
    <w:p>
      <w:pPr>
        <w:spacing w:before="240" w:after="240"/>
        <w:rPr>
          <w:lang w:val="el" w:eastAsia="el"/>
        </w:rPr>
      </w:pPr>
      <w:r>
        <w:rPr>
          <w:lang w:val="el" w:eastAsia="el"/>
        </w:rPr>
        <w:t>γ) Όσοι δικαιούχοι έχουν οι ίδιοι ή οι ωφελούμενοί τους ως κύρια κατοικία:</w:t>
      </w:r>
    </w:p>
    <w:p>
      <w:pPr>
        <w:spacing w:before="240" w:after="240"/>
        <w:rPr>
          <w:lang w:val="el" w:eastAsia="el"/>
        </w:rPr>
      </w:pPr>
      <w:r>
        <w:rPr>
          <w:lang w:val="el" w:eastAsia="el"/>
        </w:rPr>
        <w:t>i. Για το «Thessaly Pass Α 2025» τις επιλεγμένες περιοχές, όπως μνημονεύονται στο συνημμένο Παράρτημα A που αποτελεί αναπόσπαστο μέρος της παρούσας και</w:t>
      </w:r>
    </w:p>
    <w:p>
      <w:pPr>
        <w:spacing w:before="240" w:after="240"/>
        <w:rPr>
          <w:lang w:val="el" w:eastAsia="el"/>
        </w:rPr>
      </w:pPr>
      <w:r>
        <w:rPr>
          <w:lang w:val="el" w:eastAsia="el"/>
        </w:rPr>
        <w:t>ii. για το «Thessaly Pass B 2025» τις επιλεγμένες περιοχές, όπως μνημονεύονται στο συνημμένο Παράρτημα B που αποτελεί αναπόσπαστο μέρος της παρούσας και iii. για το «Evros Pass 2025», τις επιλεγμένες περιοχές, όπως μνημονεύονται στο συνημμένο Παράρτημα Γ που αποτελεί αναπόσπαστο μέρος της παρούσας, όπως αυτή (κύρια κατοικία) προκύπτει από την τελευταία εκκαθαρισμένη δήλωση φορολογίας εισοδήματος φυσικών προσώπων για το φορολογικό έτος 2023. Τα ανωτέρω δηλώνουν υπεύθυνα οι δικαιούχοι κατά την υποβολή της αίτησής τους σύμφωνα με τα όσα αναλυτικά περιγράφονται στα άρθρα 4 και 5 της παρούσας».</w:t>
      </w:r>
    </w:p>
    <w:p>
      <w:pPr>
        <w:pStyle w:val="MainText"/>
        <w:spacing w:before="120" w:after="0"/>
        <w:rPr>
          <w:lang w:val="el" w:eastAsia="el"/>
        </w:rPr>
      </w:pPr>
      <w:r>
        <w:rPr>
          <w:b/>
          <w:bCs/>
          <w:lang w:val="el" w:eastAsia="el"/>
        </w:rPr>
        <w:t>3.</w:t>
      </w:r>
      <w:r>
        <w:rPr>
          <w:lang w:val="el" w:eastAsia="el"/>
        </w:rPr>
        <w:t xml:space="preserve"> Στο άρθρο 3 «Οικονομική ενίσχυση και επιμερισμός», μετά την παρ. 1 προστίθεται παρ. 1Α ως εξής:</w:t>
      </w:r>
    </w:p>
    <w:p>
      <w:pPr>
        <w:spacing w:before="240" w:after="240"/>
        <w:rPr>
          <w:lang w:val="el" w:eastAsia="el"/>
        </w:rPr>
      </w:pPr>
      <w:r>
        <w:rPr>
          <w:lang w:val="el" w:eastAsia="el"/>
        </w:rPr>
        <w:t>«1A. Για τους δικαιούχους των προγραμμάτων της δράσης του έτους 2025 ισχύουν τα κάτωθι: α) για τους δικαιούχους του προγράμματος «ThessalyPassΑ 2025» που θα επιλέξουν ως προορισμό τις επιλεγμένες περιοχές, όπως μνημονεύονται στο συνημμένο παράρτημα Α που αποτελεί αναπόσπαστο μέρος της παρούσας, η ενίσχυση ανέρχεται σε εκατόν πενήντα ευρώ (150,00 €), β) για τους δικαιούχους του προγράμματος «Thessaly PassΒ 2025» που θα επιλέξουν ως προορισμό τις επιλεγμένες περιοχές, όπως μνημονεύονται στο συνημμένο παράρτημα Β που αποτελεί αναπόσπαστο μέρος της παρούσας, η ενίσχυση ανέρχεται σε εκατόν πενήντα ευρώ (150,00 €) και</w:t>
      </w:r>
    </w:p>
    <w:p>
      <w:pPr>
        <w:spacing w:before="240" w:after="240"/>
        <w:rPr>
          <w:lang w:val="el" w:eastAsia="el"/>
        </w:rPr>
      </w:pPr>
      <w:r>
        <w:rPr>
          <w:lang w:val="el" w:eastAsia="el"/>
        </w:rPr>
        <w:t>γ) για τους δικαιούχους του προγράμματος «Evros Pass 2025» που θα επιλέξουν ως προορισμό τις επιλεγμένες περιοχές, όπως μνημονεύονται στο συνημμένο παράρτημα Γ που αποτελεί αναπόσπαστο μέρος της παρούσας, η ενίσχυση ανέρχεται σε διακόσια ευρώ (200,00 €).</w:t>
      </w:r>
    </w:p>
    <w:p>
      <w:pPr>
        <w:spacing w:before="240" w:after="240"/>
        <w:rPr>
          <w:lang w:val="el" w:eastAsia="el"/>
        </w:rPr>
      </w:pPr>
      <w:r>
        <w:rPr>
          <w:lang w:val="el" w:eastAsia="el"/>
        </w:rPr>
        <w:t>Οι δικαιούχοι μπορούν να υποβάλουν αίτηση μόνο για ένα εκ των τριών ως άνω προγραμμάτων (passes) και για μία ή περισσότερες φάσεις όπως αυτές ορίζονται στο άρθρο 12 της παρούσας, ωστόσο μπορούν να καταστούν ωφελούμενοι, κατόπιν κλήρωσης, μόνο για ένα πρόγραμμα σε μια φάση του προγράμματος που επέλεξαν».</w:t>
      </w:r>
    </w:p>
    <w:p>
      <w:pPr>
        <w:pStyle w:val="MainText"/>
        <w:spacing w:before="120" w:after="0"/>
        <w:rPr>
          <w:lang w:val="el" w:eastAsia="el"/>
        </w:rPr>
      </w:pPr>
      <w:r>
        <w:rPr>
          <w:b/>
          <w:bCs/>
          <w:lang w:val="el" w:eastAsia="el"/>
        </w:rPr>
        <w:t>4.</w:t>
      </w:r>
      <w:r>
        <w:rPr>
          <w:lang w:val="el" w:eastAsia="el"/>
        </w:rPr>
        <w:t xml:space="preserve"> Στο άρθρο 4 «Διαδικασία έκδοσης της άυλης ψηφιακής χρεωστικής κάρτας» Α. Μετά την παρ. 3 προστίθεται παρ. 3Α ως εξής:</w:t>
      </w:r>
    </w:p>
    <w:p>
      <w:pPr>
        <w:spacing w:before="240" w:after="240"/>
        <w:rPr>
          <w:lang w:val="el" w:eastAsia="el"/>
        </w:rPr>
      </w:pPr>
      <w:r>
        <w:rPr>
          <w:lang w:val="el" w:eastAsia="el"/>
        </w:rPr>
        <w:t>«3Α Ειδικότερα, σχετικά με τη δράση του έτους 2025, μετά την είσοδό του στην εφαρμογή, αντλούνται και εμφανίζονται, μέσω διαλειτουργικότητας με τα πληροφοριακά συστήματα της ΑΑΔΕ, τα στοιχεία των δικαιούχων και των ωφελούμενων αυτών που προβλέπονται στις παρ. 1 και 2 του άρθρου 10 της παρούσας, με βάση την τελευταία εκκαθαρισμένη δήλωση φορολογίας εισοδήματος φυσικών προσώπων για το φορολογικό έτος 2023. Στη συνέχεια, τα ακόλουθα στοιχεία επικοινωνίας του φυσικού προσώπου δύνανται να αντληθούν από το Εθνικό Μητρώο Επικοινωνίας (Ε.Μ. Επ.) της Γ.Γ.Π.Σ.Δ.Δ., εφόσον έχει προηγηθεί σχετική καταχώριση: α) αριθμού κινητού τηλεφώνου, β) διεύθυνσης ηλεκτρονικού ταχυδρομείου. Εφόσον δεν έχει προηγηθεί η εν λόγω καταχώριση στο Ε.Μ. Επ, το φυσικό πρόσωπο καταχωρίζει στα εμφανιζόμενα στο σύστημα πεδία τα στοιχεία επικοινωνίας του, και ειδικότερα τη διεύθυνση ηλεκτρονικού ταχυδρομείου και τον αριθμό του κινητού τηλεφώνου, τα οποία στη συνέχεια επιβεβαιώνει. Στη συνέχεια δηλώνει τον προορισμό της επιλογής του, ήτοι: 1. για το «ThessalyPassΑ 2025» που αφορά στις επιλεγμένες περιοχές, όπως μνημονεύονται στο συνημμένο Παράρτημα Α, που αποτελεί αναπόσπαστο μέρος της παρούσας ή 2. για το «ThessalyPassΒ 2025» που αφορά στις επιλεγμένες περιοχές, όπως μνημονεύονται στο συνημμένο Παράρτημα Β, που αποτελεί αναπόσπαστο μέρος της παρούσας ή 3. για το «EvrosPass 2025», που αφορά στις επιλεγμένες περιοχές, όπως μνημονεύονται στο συνημμένο Παράρτημα Γ που αποτελεί αναπόσπαστο μέρος της παρούσας, καθώς και τη φάση ή τις φάσεις που επιθυμεί να μπορεί να επιλεχθεί κατόπιν κλήρωσης ώστε να μπορεί να κάνει χρήση της κάρτας (Φάση 1: Ιούλιος - Αύγουστος 2025, Φάση 2: Σεπτέμβριος - Οκτώβριος 2025 και Φάση 3: Νοέμβριος - Δεκέμβριος 2025). Ακολούθως, δηλώνει υπεύθυνα ότι ο ίδιος και οι ωφελούμενοι αυτού δεν έχουν επιλεγεί ως δικαιούχοι - ωφελούμενοι στο πλαίσιο του προγράμματος Κοινωνικού Τουρισμού περιόδου 2024-2025 της Δημόσιας Υπηρεσίας Απασχόλησης, ή δεν θα επιλεγούν ως δικαιούχοι του προγράμματος Κοινωνικού Τουρισμού περιόδου 2025-2026 της Δημόσιας Υπηρεσίας Απασχόλησης, ή συναφούς παροχής από οποιονδήποτε άλλο φορέα για την ίδια χρονική περίοδο. Παράλληλα δηλώνει υπεύθυνα ότι, α)με βάση τον προορισμό επιλογής που δήλωσε ο δικαιούχος, ο ίδιος και οι ωφελούμενοι αυτού δεν έχουν κύρια κατοικία στις αντίστοιχες επιλεγμένες περιοχές του προγράμματος που προκύπτουν αντιστοίχως από τα Παραρτήματα Α, Β και Γ τα οποία αποτελούν αναπόσπαστο μέρος της παρούσας, όπως αυτή προκύπτει από την τελευταία εκκαθαρισμένη δήλωση φορολογίας εισοδήματος φυσικών προσώπων για το φορολογικό έτος 2023, καθώς και ότι β) το χρηματικό ποσό που πιστώνεται στην άυλη χρεωστική κάρτα θα χρησιμοποιηθεί αποκλειστικά για την κάλυψη δαπανών τοπικής μεταφοράς, εστίασης και διαμονής του ιδίου και των ωφελούμενών του και δεν είναι δυνατή οποιαδήποτε μεταφορά σε τρίτο πρόσωπο ή η ανάληψή του. Οι δηλώσεις των προηγούμενων εδαφίων της παρούσας παραγράφου συνιστούν υπεύθυνες δηλώσεις του ν. 1599/1986 (Α’ 75), ως προς την αλήθεια του περιεχομένου τους και τις συνέπειές τους. Ο δικαιούχος καταχωρίζει επίσης το πιστωτικό ίδρυμα ή χρηματοπιστωτικό οργανισμό της επιλογής του, από το οποίο, εφόσον επιλεγεί κατόπιν κλήρωσης, θα εκδοθεί η άυλη ψηφιακή χρεωστική κάρτα και αιτείται την έκδοση αυτής και την πίστωση του σχετικού ποσού».</w:t>
      </w:r>
    </w:p>
    <w:p>
      <w:pPr>
        <w:spacing w:before="240" w:after="240"/>
        <w:rPr>
          <w:lang w:val="el" w:eastAsia="el"/>
        </w:rPr>
      </w:pPr>
      <w:r>
        <w:rPr>
          <w:lang w:val="el" w:eastAsia="el"/>
        </w:rPr>
        <w:t>Β. Η παρ. 4 τροποποιείται ως εξής: «4. Κατά τη διάρκεια υποβολής των αιτήσεων για κάθε έτος δράσης ξεχωριστά, επιτρέπεται η διαγραφή/ανάκληση υποβληθείσας αίτησης και υποβολή νέας. Σε κάθε περίπτωση ισχύει η αρχή «μία αίτηση ανά έτος» ως εκ τούτου δεν επιτρέπεται η υποβολή δεύτερης αίτησης στο ίδιο έτος δράσης. Μετά το πέρας της υποβολής αιτήσεων, δεν επιτρέπεται η ανάκληση ή/και η υποβολή νέας αίτησης».</w:t>
      </w:r>
    </w:p>
    <w:p>
      <w:pPr>
        <w:spacing w:before="240" w:after="240"/>
        <w:rPr>
          <w:lang w:val="el" w:eastAsia="el"/>
        </w:rPr>
      </w:pPr>
      <w:r>
        <w:rPr>
          <w:lang w:val="el" w:eastAsia="el"/>
        </w:rPr>
        <w:t>Γ. Στην παρ. 6 μετά την φράση «φορολογικό έτος 2022» προστίθεται η φράση «ή 2023 αντίστοιχα».</w:t>
      </w:r>
    </w:p>
    <w:p>
      <w:pPr>
        <w:pStyle w:val="MainText"/>
        <w:spacing w:before="120" w:after="0"/>
        <w:rPr>
          <w:lang w:val="el" w:eastAsia="el"/>
        </w:rPr>
      </w:pPr>
      <w:r>
        <w:rPr>
          <w:b/>
          <w:bCs/>
          <w:lang w:val="el" w:eastAsia="el"/>
        </w:rPr>
        <w:t>5.</w:t>
      </w:r>
      <w:r>
        <w:rPr>
          <w:lang w:val="el" w:eastAsia="el"/>
        </w:rPr>
        <w:t xml:space="preserve"> Στο άρθρο 5 «Διαδικασία έκδοσης της άυλης ψηφιακής χρεωστικής κάρτας από τα Κ.Ε.Π.» Α. Μετά την παρ. 1 προστίθεται παρ. 1Α ως εξής: «1Α Tην υπό παρ. 1 διαδικασία ακολουθεί και κάθε ενδιαφερόμενος για τα προγράμματα της δράσης του έτους 2025, ήτοι: 1. για το «ThessalyPassΑ 2025» που αφορά στις επιλεγμένες περιοχές, όπως μνημονεύονται στο συνημμένο παράρτημα Α, που αποτελεί αναπόσπαστο μέρος της παρούσας ή 2. για το «ThessalyPassΒ 2025» που αφορά στις επιλεγμένες περιοχές, όπως μνημονεύονται στο συνημμένο παράρτημα Β, που αποτελεί αναπόσπαστο μέρος της παρούσας ή 3. για το «EvrosPass 2025», που αφορά στις επιλεγμένες περιοχές, όπως μνημονεύονται στο συνημμένο παράρτημα Γ που αποτελεί αναπόσπαστο μέρος της παρούσας, κατόπιν σχετικής επιβεβαίωσης από το φυσικό πρόσωπο - δικαιούχο, καθώς και τη φάση ή τις φάσεις που επιθυμεί να δύναται να επιλεχθεί κατόπιν κλήρωσης ώστε να μπορεί να κάνει χρήση της κάρτας (Φάση 1: Ιούλιος - Αύγουστος 2025, Φάση 2: Σεπτέμβριος - Οκτώβριος 2025 και Φάση 3: Νοέμβριος - Δεκέμβριος 2025). Ακολούθως, κατόπιν σχετικής επιβεβαίωσης από το φυσικό πρόσωπο - δικαιούχο, δηλώνει υπεύθυνα ότι το φυσικό πρόσωπο - δικαιούχος και οι ωφελούμενοι αυτού δεν έχουν επιλεγεί ως δικαιούχοι - ωφελούμενοι στο πλαίσιο του προγράμματος Κοινωνικού Τουρισμού περιόδου 2024-2025 της Δημόσιας Υπηρεσίας Απασχόλησης, ή δεν θα επιλεγούν ως δικαιούχοι του προγράμματος Κοινωνικού Τουρισμού περιόδου 2025-2026 της Δημόσιας Υπηρεσίας Απασχόλησης, ή συναφούς παροχής από οποιονδήποτε άλλο φορέα για την ίδια χρονική περίοδο. Παράλληλα δηλώνει υπεύθυνα, για λογαριασμό του φυσικού προσώπου - δικαιούχου και κατόπιν σχετικής επιβεβαίωσης από τον φυσικό πρόσωπο - δικαιούχο, ότι ο ίδιος και οι ωφελούμενοι αυτού δεν έχουν κύρια κατοικία στις αντίστοιχες επιλεγμένες περιοχές του προγράμματος που προκύπτουν αντιστοίχως από τα Παραρτήματα Α, Β και Γ που αποτελούν αναπόσπαστο μέρος της παρούσας, όπως αυτή προκύπτει από την τελευταία εκκαθαρισμένη δήλωση φορολογίας εισοδήματος φυσικών προσώπων για το φορολογικό έτος 2023 καθώς και ότι το χρηματικό ποσό που πιστώνεται στη χρεωστική κάρτα θα χρησιμοποιηθεί αποκλειστικά από τον ίδιο για την κάλυψη δαπανών τοπικής μεταφοράς, εστίασης και διαμονής του ιδίου και των ωφελούμενών του και δεν είναι δυνατή οποιαδήποτε μεταφορά σε τρίτο πρόσωπο ή η ανάληψή του. Οι δηλώσεις των προηγούμενων εδαφίων συνιστούν υπεύθυνες δηλώσεις του δικαιούχου του ν. 1599/1986 (Α’ 75), ως προς την αλήθεια του περιεχομένου τους. Τέλος, καταχωρίζει το πιστωτικό ίδρυμα ή χρηματοπιστωτικό οργανισμό επιλογής του δικαιούχου, από το οποίο, εφόσον επιλεγεί κατόπιν κλήρωσης, θα εκδοθεί η άυλη ψηφιακή χρεωστική κάρτα και αιτείται την έκδοση αυτής και την πίστωση του σχετικού ποσού για λογαριασμό του φυσικού προσώπου - δικαιούχου.</w:t>
      </w:r>
    </w:p>
    <w:p>
      <w:pPr>
        <w:spacing w:before="240" w:after="240"/>
        <w:rPr>
          <w:lang w:val="el" w:eastAsia="el"/>
        </w:rPr>
      </w:pPr>
      <w:r>
        <w:rPr>
          <w:lang w:val="el" w:eastAsia="el"/>
        </w:rPr>
        <w:t>Β. Η παρ. 3 τροποποιείται ως εξής: «Κατά τη διάρκεια υποβολής των αιτήσεων για κάθε έτος δράσης ξεχωριστά, επιτρέπεται η διαγραφή/ανάκληση υποβληθείσας αίτησης και υποβολή νέας. Σε κάθε περίπτωση δεν επιτρέπεται η υποβολή δεύτερης αίτησης για κάθε έτος δράσης, σύμφωνα με την αρχή «μία αίτηση ανά έτος». Μετά το πέρας της υποβολής αιτήσεων, δεν επιτρέπεται η ανάκληση ή/και η υποβολή νέας αίτησης».</w:t>
      </w:r>
    </w:p>
    <w:p>
      <w:pPr>
        <w:spacing w:before="240" w:after="240"/>
        <w:rPr>
          <w:lang w:val="el" w:eastAsia="el"/>
        </w:rPr>
      </w:pPr>
      <w:r>
        <w:rPr>
          <w:lang w:val="el" w:eastAsia="el"/>
        </w:rPr>
        <w:t>Γ. Στην παρ. 5 μετά την φράση «φορολογικό έτος 2022» προστίθεται η φράση «ή 2023 αντίστοιχα».</w:t>
      </w:r>
    </w:p>
    <w:p>
      <w:pPr>
        <w:pStyle w:val="MainText"/>
        <w:spacing w:before="120" w:after="0"/>
        <w:rPr>
          <w:lang w:val="el" w:eastAsia="el"/>
        </w:rPr>
      </w:pPr>
      <w:r>
        <w:rPr>
          <w:b/>
          <w:bCs/>
          <w:lang w:val="el" w:eastAsia="el"/>
        </w:rPr>
        <w:t>6.</w:t>
      </w:r>
      <w:r>
        <w:rPr>
          <w:lang w:val="el" w:eastAsia="el"/>
        </w:rPr>
        <w:t xml:space="preserve"> Στο άρθρο 6 μετά την παρ. 4 προστίθεται παρ. 4Α ως εξής:</w:t>
      </w:r>
    </w:p>
    <w:p>
      <w:pPr>
        <w:spacing w:before="240" w:after="240"/>
        <w:rPr>
          <w:lang w:val="el" w:eastAsia="el"/>
        </w:rPr>
      </w:pPr>
      <w:r>
        <w:rPr>
          <w:lang w:val="el" w:eastAsia="el"/>
        </w:rPr>
        <w:t>«Ειδικότερα, αναφορικά με τη διενέργεια της δράσης του έτους 2025, ήτοι για τα προγράμματα «ThessalyPassΑ 2025», «ThessalyPassΒ 2025» και «EvrosPass 2025», δύναται να παραταθεί, από το πιστωτικό ίδρυμα ή τον χρηματοπιστωτικό οργανισμό που έχει επιλεγεί με τη διαδικασία που περιγράφεται στην παρ. 4, ο χρόνος ισχύος της προσφοράς του και η παράταση αυτή να γίνει αποδεκτή από τον Φορέα υλοποίησης (ΕΔΥΤΕ Α.Ε.) σύμφωνα με τις διαδικασίες του.</w:t>
      </w:r>
    </w:p>
    <w:p>
      <w:pPr>
        <w:spacing w:before="240" w:after="240"/>
        <w:rPr>
          <w:lang w:val="el" w:eastAsia="el"/>
        </w:rPr>
      </w:pPr>
      <w:r>
        <w:rPr>
          <w:lang w:val="el" w:eastAsia="el"/>
        </w:rPr>
        <w:t>7. Στο άρθρο 10 όπου αναφέρεται το έτος «2022» προστίθεται ακολούθως η φράση «ή 2023 αντίστοιχα».</w:t>
      </w:r>
    </w:p>
    <w:p>
      <w:pPr>
        <w:spacing w:before="240" w:after="240"/>
        <w:rPr>
          <w:lang w:val="el" w:eastAsia="el"/>
        </w:rPr>
      </w:pPr>
      <w:r>
        <w:rPr>
          <w:lang w:val="el" w:eastAsia="el"/>
        </w:rPr>
        <w:t>8. Α. Στην παρ. 1 του άρθρου 11 μετά την φράση «των προγραμμάτων «ThessalyPassΑ 2024», «ThessalyPassΒ 2024» και «EvrosPass 2024» προστίθεται η φράση «και των προγραμμάτων «ThessalyPassΑ 2025», «ThessalyPassΒ 2025» και «EvrosPass 2025» αντίστοιχα».</w:t>
      </w:r>
    </w:p>
    <w:p>
      <w:pPr>
        <w:spacing w:before="240" w:after="240"/>
        <w:rPr>
          <w:lang w:val="el" w:eastAsia="el"/>
        </w:rPr>
      </w:pPr>
      <w:r>
        <w:rPr>
          <w:lang w:val="el" w:eastAsia="el"/>
        </w:rPr>
        <w:t>Β. Στο τέλος της παρ. 7 του άρθρου 11 προστίθεται το εδάφιο: «Το αυτό ισχύει και ως προς την χρονική διάρκεια διατήρησης των υποβαλλόμενων στοιχείων στην ειδική ηλεκτρονική εφαρμογή των προγραμμάτων «ThessalyPassΑ 2025», «ThessalyPassΒ 2025» και «EvrosPass 2025».</w:t>
      </w:r>
    </w:p>
    <w:p>
      <w:pPr>
        <w:spacing w:before="240" w:after="240"/>
        <w:rPr>
          <w:lang w:val="el" w:eastAsia="el"/>
        </w:rPr>
      </w:pPr>
      <w:r>
        <w:rPr>
          <w:lang w:val="el" w:eastAsia="el"/>
        </w:rPr>
        <w:t>9. Το άρθρο 12 «Προθεσμίες και συνολική διάρκεια του προγράμματος» τροποποιείται ως εξής:</w:t>
      </w:r>
    </w:p>
    <w:p>
      <w:pPr>
        <w:spacing w:before="240" w:after="240"/>
        <w:rPr>
          <w:lang w:val="el" w:eastAsia="el"/>
        </w:rPr>
      </w:pPr>
      <w:r>
        <w:rPr>
          <w:lang w:val="el" w:eastAsia="el"/>
        </w:rPr>
        <w:t>A. Μετά την παρ. 1 προστίθεται παρ. 1Α ως εξής «1Α. Ως προς τη δράση του έτους 2025 ως ημερομηνία έναρξης υποβολής αιτήσεων ορίζεται η 23η Ιουλίου 2025 και ως ημερομηνία λήξης η 25η Ιουλίου 2025.</w:t>
      </w:r>
    </w:p>
    <w:p>
      <w:pPr>
        <w:spacing w:before="240" w:after="240"/>
        <w:rPr>
          <w:lang w:val="el" w:eastAsia="el"/>
        </w:rPr>
      </w:pPr>
      <w:r>
        <w:rPr>
          <w:lang w:val="el" w:eastAsia="el"/>
        </w:rPr>
        <w:t>Β. Μετά την παρ. 2 προστίθεται παρ. 2Α ως εξής: «2Α. Για τη δράση του έτους 2025, ο αριθμός των άυλων ψηφιακών χρεωστικών καρτών ανά επιλέξιμη περιοχή καθορίζεται ως εξής: Α. «ThessalyPassΑ 2025» τις επιλεγμένες περιοχές, όπως μνημονεύονται στα συνημμένο παράρτημα Α, που αποτελεί αναπόσπαστο μέρος της παρούσας: 4.164</w:t>
      </w:r>
    </w:p>
    <w:p>
      <w:pPr>
        <w:spacing w:before="240" w:after="240"/>
        <w:rPr>
          <w:lang w:val="el" w:eastAsia="el"/>
        </w:rPr>
      </w:pPr>
      <w:r>
        <w:rPr>
          <w:lang w:val="el" w:eastAsia="el"/>
        </w:rPr>
        <w:t>Β.«ThessalyPassΒ 2025» τις επιλεγμένες περιοχές, όπως μνημονεύονται στα συνημμένο παράρτημα Β, που αποτελεί αναπόσπαστο μέρος της παρούσας: 4.164 και</w:t>
      </w:r>
    </w:p>
    <w:p>
      <w:pPr>
        <w:spacing w:before="240" w:after="240"/>
        <w:rPr>
          <w:lang w:val="el" w:eastAsia="el"/>
        </w:rPr>
      </w:pPr>
      <w:r>
        <w:rPr>
          <w:lang w:val="el" w:eastAsia="el"/>
        </w:rPr>
        <w:t>Γ. «EvrosPass 2025», τις επιλεγμένες περιοχές, όπως μνημονεύονται στο συνημμένο παράρτημα Γ που αποτελεί αναπόσπαστο μέρος της παρούσας: 3.000»</w:t>
      </w:r>
    </w:p>
    <w:p>
      <w:pPr>
        <w:spacing w:before="240" w:after="240"/>
        <w:rPr>
          <w:lang w:val="el" w:eastAsia="el"/>
        </w:rPr>
      </w:pPr>
      <w:r>
        <w:rPr>
          <w:lang w:val="el" w:eastAsia="el"/>
        </w:rPr>
        <w:t>Γ. Μετά την παρ. 3 προστίθεται παρ. 3Α ως εξής: «3Α. Αντιστοίχως η δράση του έτους 2025 αναμένεται να πραγματοποιηθεί σε τρεις (3) διαδοχικές φάσεις και συγκεκριμένα Φάση 1 (Ιούλιος - Αύγουστος 2025), Φάση 2 (Σεπτέμβριος - Οκτώβριος 2025) και Φάση 3 (Νοέμβριος - Δεκέμβριος 2025). Ο αριθμός άυλων ψηφιακών χρεωστικών καρτών ανά επιλέξιμη περιοχή και ανά Φάση καθορίζεται ως εξής:</w:t>
      </w:r>
    </w:p>
    <w:p>
      <w:pPr>
        <w:spacing w:before="240" w:after="240"/>
        <w:rPr>
          <w:lang w:val="el" w:eastAsia="el"/>
        </w:rPr>
      </w:pPr>
      <w:r>
        <w:rPr>
          <w:lang w:val="el" w:eastAsia="el"/>
        </w:rPr>
        <w:t>Φάση 1: «ThessalyPassΑ 2025» 1.388/«ThessalyPassΒ 2025» 1.388/EvrosPass 2025» 1.000</w:t>
      </w:r>
    </w:p>
    <w:p>
      <w:pPr>
        <w:spacing w:before="240" w:after="240"/>
        <w:rPr>
          <w:lang w:val="el" w:eastAsia="el"/>
        </w:rPr>
      </w:pPr>
      <w:r>
        <w:rPr>
          <w:lang w:val="el" w:eastAsia="el"/>
        </w:rPr>
        <w:t>Φάση 2: «ThessalyPassΑ 2025» 1.388/«ThessalyPassΒ 2025» 1.388/«EvrosPass 2025» 1.000</w:t>
      </w:r>
    </w:p>
    <w:p>
      <w:pPr>
        <w:spacing w:before="240" w:after="240"/>
        <w:rPr>
          <w:lang w:val="el" w:eastAsia="el"/>
        </w:rPr>
      </w:pPr>
      <w:r>
        <w:rPr>
          <w:lang w:val="el" w:eastAsia="el"/>
        </w:rPr>
        <w:t>Φάση 3: «ThessalyPassΑ 2025» 1.388/«ThessalyPassΒ 2025» 1.388/«EvrosPass 2025» 1.000</w:t>
      </w:r>
    </w:p>
    <w:p>
      <w:pPr>
        <w:spacing w:before="240" w:after="240"/>
        <w:rPr>
          <w:lang w:val="el" w:eastAsia="el"/>
        </w:rPr>
      </w:pPr>
      <w:r>
        <w:rPr>
          <w:lang w:val="el" w:eastAsia="el"/>
        </w:rPr>
        <w:t>και θα γίνεται μεταφορά τυχόν υπόλοιπων ποσών της Φάσης 1 στη Φάση 3, με τις σχετικές παρεμβάσεις στην παρ. 4Α.».</w:t>
      </w:r>
    </w:p>
    <w:p>
      <w:pPr>
        <w:spacing w:before="240" w:after="240"/>
        <w:rPr>
          <w:lang w:val="el" w:eastAsia="el"/>
        </w:rPr>
      </w:pPr>
      <w:r>
        <w:rPr>
          <w:lang w:val="el" w:eastAsia="el"/>
        </w:rPr>
        <w:t>Δ. Η παρ. 4 τροποποιείταιως εξής: «Το ποσό των 690.000 ευρώ εκ του συνολικού ποσού που έχει επιστραφεί με ευθύνη του Πιστωτικού Ιδρύματος στο λογαριασμό του Φορέα Υλοποίησης (ΕΔΥΤΕ Α.Ε.), κατ’ εφαρμογή της παρ. 7 του ίδιου άρθρου σε σχέση με τη Φάση 1 της δράσης του έτους 2024, θα διατίθεται στους δικαιούχους της Φάσης 3 της ίδιας δράσης αυξάνοντας το ποσό της ενίσχυσης ενός εκάστου δικαιούχου σύμφωνα με τα οριζόμενα στην παρ. 1Α του άρθρου 3».</w:t>
      </w:r>
    </w:p>
    <w:p>
      <w:pPr>
        <w:spacing w:before="240" w:after="240"/>
        <w:rPr>
          <w:lang w:val="el" w:eastAsia="el"/>
        </w:rPr>
      </w:pPr>
      <w:r>
        <w:rPr>
          <w:lang w:val="el" w:eastAsia="el"/>
        </w:rPr>
        <w:t>Ε. Μετά την παρ. 4 προστίθεται παρ. 4Α ως εξής:</w:t>
      </w:r>
    </w:p>
    <w:p>
      <w:pPr>
        <w:spacing w:before="240" w:after="240"/>
        <w:rPr>
          <w:lang w:val="el" w:eastAsia="el"/>
        </w:rPr>
      </w:pPr>
      <w:r>
        <w:rPr>
          <w:lang w:val="el" w:eastAsia="el"/>
        </w:rPr>
        <w:t>«4Α. Τυχόν υπόλοιπα ποσά της Φάσης 1 της δράσης του έτους 2025 μεταφέρονται στη Φάση 3 της ίδιας δράσης, προσαυξάνοντας τον αριθμό των άυλων ψηφιακών χρεωστικών καρτών για τη φάση αυτή, με την επιφύλαξη μη υπέρβασης του αρχικώς προϋπολογισθέντος ποσού, σύμφωνα με τα προβλεπόμενα στην παρ. 1 του άρθρου 3Α και στην παρ. 2Α του παρόντος».</w:t>
      </w:r>
    </w:p>
    <w:p>
      <w:pPr>
        <w:spacing w:before="240" w:after="240"/>
        <w:rPr>
          <w:lang w:val="el" w:eastAsia="el"/>
        </w:rPr>
      </w:pPr>
      <w:r>
        <w:rPr>
          <w:lang w:val="el" w:eastAsia="el"/>
        </w:rPr>
        <w:t>ΣΤ. Η παρ. 5 τροποποιείται ως εξής: «5. Το πρόγραμμα ολοκληρώνεται την 31 Δεκεμβρίου 2026».</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Έναρξη ισχύος - Λοιποί όροι</w:t>
      </w:r>
    </w:p>
    <w:p>
      <w:pPr>
        <w:pStyle w:val="MainText"/>
        <w:spacing w:before="120" w:after="0"/>
        <w:rPr>
          <w:lang w:val="el" w:eastAsia="el"/>
        </w:rPr>
      </w:pPr>
      <w:r>
        <w:rPr>
          <w:b/>
          <w:bCs/>
          <w:lang w:val="el" w:eastAsia="el"/>
        </w:rPr>
        <w:t>1.</w:t>
      </w:r>
      <w:r>
        <w:rPr>
          <w:lang w:val="el" w:eastAsia="el"/>
        </w:rPr>
        <w:t xml:space="preserve"> Η απόφαση αυτή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Κατά τα λοιπά ισχύουν οι λοιποί όροι της υπ’ αρ. 43962/4.6.2024 (Β’ 3172) κοινής υπουργικής απόφασης ως τροποποιήθηκε με την υπ’ αρ. 80425/30.10.2024 (Β’ 6009) κοινή υπουργική απόφαση και ισχύει.</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Επιλέξιμοι Ταχυδρομικοί Κωδικοί (ΤΚ) Επιχειρήσεων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24"/>
        <w:gridCol w:w="23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ΘΕΣΣΑΛΙΑ Α (έτος δράσης </w:t>
            </w:r>
            <w:r>
              <w:rPr>
                <w:b/>
                <w:bCs/>
                <w:i w:val="0"/>
                <w:iCs w:val="0"/>
                <w:smallCaps w:val="0"/>
                <w:color w:val="000000"/>
                <w:lang w:val="el" w:eastAsia="el"/>
              </w:rPr>
              <w:t>2024</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Δήμος Νότιου Πηλίου,</w:t>
            </w:r>
          </w:p>
          <w:p>
            <w:pPr>
              <w:spacing w:before="240"/>
              <w:rPr>
                <w:b w:val="0"/>
                <w:bCs w:val="0"/>
                <w:i w:val="0"/>
                <w:iCs w:val="0"/>
                <w:smallCaps w:val="0"/>
                <w:color w:val="000000"/>
                <w:lang w:val="el" w:eastAsia="el"/>
              </w:rPr>
            </w:pPr>
            <w:r>
              <w:rPr>
                <w:b w:val="0"/>
                <w:bCs w:val="0"/>
                <w:i w:val="0"/>
                <w:iCs w:val="0"/>
                <w:smallCaps w:val="0"/>
                <w:color w:val="000000"/>
                <w:lang w:val="el" w:eastAsia="el"/>
              </w:rPr>
              <w:t>Δήμος Ζαγοράς Μουρεσίου, Δημοτικές Ενότητες Αγριάς, Πορταριάς, Αρτέμιδος και Μακρυνίτσης του Δήμου 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37006, 37300, 37010, 37012, 37013,</w:t>
            </w:r>
          </w:p>
          <w:p>
            <w:pPr>
              <w:spacing w:before="240"/>
              <w:rPr>
                <w:b w:val="0"/>
                <w:bCs w:val="0"/>
                <w:i w:val="0"/>
                <w:iCs w:val="0"/>
                <w:smallCaps w:val="0"/>
                <w:color w:val="000000"/>
                <w:lang w:val="el" w:eastAsia="el"/>
              </w:rPr>
            </w:pPr>
            <w:r>
              <w:rPr>
                <w:b w:val="0"/>
                <w:bCs w:val="0"/>
                <w:i w:val="0"/>
                <w:iCs w:val="0"/>
                <w:smallCaps w:val="0"/>
                <w:color w:val="000000"/>
                <w:lang w:val="el" w:eastAsia="el"/>
              </w:rPr>
              <w:t>37009, 37001, 37006, 37011, 38000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97"/>
        <w:gridCol w:w="3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ΘΕΣΣΑΛΙΑ Α (έτος δράσης </w:t>
            </w:r>
            <w:r>
              <w:rPr>
                <w:b/>
                <w:bCs/>
                <w:i w:val="0"/>
                <w:iCs w:val="0"/>
                <w:smallCaps w:val="0"/>
                <w:color w:val="000000"/>
                <w:lang w:val="el" w:eastAsia="el"/>
              </w:rPr>
              <w:t>2025</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Νότιου Πηλίου, Δήμος Ζαγοράς Μουρεσίου, Δήμος Βόλου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37006, 37300, 37010, 37012, 37013,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37009, 37001, 37006, 37011, 38000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38333, 38334, 38445, 38446, 37400,</w:t>
            </w:r>
          </w:p>
          <w:p>
            <w:pPr>
              <w:spacing w:before="240"/>
              <w:rPr>
                <w:b w:val="0"/>
                <w:bCs w:val="0"/>
                <w:i w:val="0"/>
                <w:iCs w:val="0"/>
                <w:smallCaps w:val="0"/>
                <w:color w:val="000000"/>
                <w:lang w:val="el" w:eastAsia="el"/>
              </w:rPr>
            </w:pPr>
            <w:r>
              <w:rPr>
                <w:b w:val="0"/>
                <w:bCs w:val="0"/>
                <w:i w:val="0"/>
                <w:iCs w:val="0"/>
                <w:smallCaps w:val="0"/>
                <w:color w:val="000000"/>
                <w:lang w:val="el" w:eastAsia="el"/>
              </w:rPr>
              <w:t>37100, 38500, 38221, 38222, 38223</w:t>
            </w:r>
          </w:p>
        </w:tc>
      </w:tr>
    </w:tbl>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Επιλέξιμοι Ταχυδρομικοί Κωδικοί (ΤΚ) Επιχειρήσεων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9"/>
        <w:gridCol w:w="4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Δήμος Λίμνης Πλαστήρα,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Αγιάς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Τεμπών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 Πύλης (πλην Δημοτικών Ενοτήτων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Γόμφων και Πιαλείων)</w:t>
            </w:r>
          </w:p>
          <w:p>
            <w:pPr>
              <w:spacing w:before="240"/>
              <w:rPr>
                <w:b w:val="0"/>
                <w:bCs w:val="0"/>
                <w:i w:val="0"/>
                <w:iCs w:val="0"/>
                <w:smallCaps w:val="0"/>
                <w:color w:val="000000"/>
                <w:lang w:val="el" w:eastAsia="el"/>
              </w:rPr>
            </w:pPr>
            <w:r>
              <w:rPr>
                <w:b w:val="0"/>
                <w:bCs w:val="0"/>
                <w:i w:val="0"/>
                <w:iCs w:val="0"/>
                <w:smallCaps w:val="0"/>
                <w:color w:val="000000"/>
                <w:lang w:val="el" w:eastAsia="el"/>
              </w:rPr>
              <w:t>Δήμος Μετεώρων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43150, 43067, 43100, 40003, 40006,</w:t>
            </w:r>
          </w:p>
          <w:p>
            <w:pPr>
              <w:spacing w:before="240" w:after="240"/>
              <w:rPr>
                <w:b w:val="0"/>
                <w:bCs w:val="0"/>
                <w:i w:val="0"/>
                <w:iCs w:val="0"/>
                <w:smallCaps w:val="0"/>
                <w:color w:val="000000"/>
                <w:lang w:val="el" w:eastAsia="el"/>
              </w:rPr>
            </w:pPr>
            <w:r>
              <w:rPr>
                <w:b w:val="0"/>
                <w:bCs w:val="0"/>
                <w:i w:val="0"/>
                <w:iCs w:val="0"/>
                <w:smallCaps w:val="0"/>
                <w:color w:val="000000"/>
                <w:lang w:val="el" w:eastAsia="el"/>
              </w:rPr>
              <w:t>40007, 40004, 42032, 42037, 42033,</w:t>
            </w:r>
          </w:p>
          <w:p>
            <w:pPr>
              <w:spacing w:before="240"/>
              <w:rPr>
                <w:b w:val="0"/>
                <w:bCs w:val="0"/>
                <w:i w:val="0"/>
                <w:iCs w:val="0"/>
                <w:smallCaps w:val="0"/>
                <w:color w:val="000000"/>
                <w:lang w:val="el" w:eastAsia="el"/>
              </w:rPr>
            </w:pPr>
            <w:r>
              <w:rPr>
                <w:b w:val="0"/>
                <w:bCs w:val="0"/>
                <w:i w:val="0"/>
                <w:iCs w:val="0"/>
                <w:smallCaps w:val="0"/>
                <w:color w:val="000000"/>
                <w:lang w:val="el" w:eastAsia="el"/>
              </w:rPr>
              <w:t>42200, 42035, 42034, 42036</w:t>
            </w:r>
          </w:p>
        </w:tc>
      </w:tr>
    </w:tbl>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Επιλέξιμοι Ταχυδρομικοί Κωδικοί (ΤΚ) Επιχειρήσεων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72"/>
        <w:gridCol w:w="3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Κωδικός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Σουφλίου, Δημοτική ενότητα Φερών του Δήμου Αλεξανδρούπολης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68004, 68400, 68003, 68500, 68013</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Ιουλίου 2025</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