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24732 ΕΞ 2025</w:t>
      </w:r>
    </w:p>
    <w:p>
      <w:pPr>
        <w:pStyle w:val="PreambelText"/>
        <w:spacing w:before="240" w:after="240"/>
        <w:rPr>
          <w:lang w:val="el" w:eastAsia="el"/>
        </w:rPr>
      </w:pPr>
      <w:r>
        <w:rPr>
          <w:b/>
          <w:bCs/>
          <w:lang w:val="el" w:eastAsia="el"/>
        </w:rPr>
        <w:t>Λειτουργία Ηλεκτρονικής εφαρμογής «mystreet» για τον έλεγχο της αυθαίρετης χρήσης κοινόχρηστων χώρων.</w:t>
      </w:r>
    </w:p>
    <w:p>
      <w:pPr>
        <w:pStyle w:val="PreambelText"/>
        <w:spacing w:before="240" w:after="240"/>
        <w:rPr>
          <w:lang w:val="el" w:eastAsia="el"/>
        </w:rPr>
      </w:pPr>
      <w:r>
        <w:rPr>
          <w:b/>
          <w:bCs/>
          <w:lang w:val="el" w:eastAsia="el"/>
        </w:rPr>
        <w:t>OI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ΕΣΩΤΕΡΙΚΩΝ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5188/2025 «Μέτρα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 (Α’ 49), και ιδίως του άρθρου 20 και της παρ. 1 του άρθρου 25, αυτού</w:t>
      </w:r>
    </w:p>
    <w:p>
      <w:pPr>
        <w:pStyle w:val="PreambelText"/>
        <w:spacing w:before="240" w:after="240"/>
        <w:rPr>
          <w:lang w:val="el" w:eastAsia="el"/>
        </w:rPr>
      </w:pPr>
      <w:r>
        <w:rPr>
          <w:lang w:val="el" w:eastAsia="el"/>
        </w:rPr>
        <w:t>β. του Κώδικα Διοικητικής Διαδικασίας (ν. 2690/1999), (Α’ 45),</w:t>
      </w:r>
    </w:p>
    <w:p>
      <w:pPr>
        <w:pStyle w:val="PreambelText"/>
        <w:spacing w:before="240" w:after="240"/>
        <w:rPr>
          <w:lang w:val="el" w:eastAsia="el"/>
        </w:rPr>
      </w:pPr>
      <w:r>
        <w:rPr>
          <w:lang w:val="el" w:eastAsia="el"/>
        </w:rPr>
        <w:t>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δ.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ε. των άρθρων 13, 18 και 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ζ. του άρθρου 90 του Κώδικα της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η. της περ. θ’ του άρθρου 23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θ. του π.δ. 142/2017 «Οργανισμός Υπουργείου Οικονομικών» (Α’ 181),</w:t>
      </w:r>
    </w:p>
    <w:p>
      <w:pPr>
        <w:pStyle w:val="PreambelText"/>
        <w:spacing w:before="240" w:after="240"/>
        <w:rPr>
          <w:lang w:val="el" w:eastAsia="el"/>
        </w:rPr>
      </w:pPr>
      <w:r>
        <w:rPr>
          <w:lang w:val="el" w:eastAsia="el"/>
        </w:rPr>
        <w:t>ι.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κ.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κα. του π.δ. 32/2024 «Διορισμός Υπουργών και Υφυπουργών» (Α’ 91),</w:t>
      </w:r>
    </w:p>
    <w:p>
      <w:pPr>
        <w:pStyle w:val="PreambelText"/>
        <w:spacing w:before="240" w:after="240"/>
        <w:rPr>
          <w:lang w:val="el" w:eastAsia="el"/>
        </w:rPr>
      </w:pPr>
      <w:r>
        <w:rPr>
          <w:lang w:val="el" w:eastAsia="el"/>
        </w:rPr>
        <w:t>κβ.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(Α’ 139),</w:t>
      </w:r>
    </w:p>
    <w:p>
      <w:pPr>
        <w:pStyle w:val="PreambelText"/>
        <w:spacing w:before="240" w:after="240"/>
        <w:rPr>
          <w:lang w:val="el" w:eastAsia="el"/>
        </w:rPr>
      </w:pPr>
      <w:r>
        <w:rPr>
          <w:lang w:val="el" w:eastAsia="el"/>
        </w:rPr>
        <w:t>κγ. του π.δ. 40/2020 «Οργανισμός Υπουργείου Ψηφιακής Διακυβέρνησης» (Α’ 85),</w:t>
      </w:r>
    </w:p>
    <w:p>
      <w:pPr>
        <w:pStyle w:val="PreambelText"/>
        <w:spacing w:before="240" w:after="240"/>
        <w:rPr>
          <w:lang w:val="el" w:eastAsia="el"/>
        </w:rPr>
      </w:pPr>
      <w:r>
        <w:rPr>
          <w:lang w:val="el" w:eastAsia="el"/>
        </w:rPr>
        <w:t>κδ. του π.δ. 133/2017 «Οργανισμός του Υπουργείου Διοικητικής Ανασυγκρότησης» (Α’ 161),</w:t>
      </w:r>
    </w:p>
    <w:p>
      <w:pPr>
        <w:pStyle w:val="PreambelText"/>
        <w:spacing w:before="240" w:after="240"/>
        <w:rPr>
          <w:lang w:val="el" w:eastAsia="el"/>
        </w:rPr>
      </w:pPr>
      <w:r>
        <w:rPr>
          <w:lang w:val="el" w:eastAsia="el"/>
        </w:rPr>
        <w:t>κε. του π.δ. 141/2017 «Οργανισμός Υπουργείου Εσωτερικών» (Α’ 180),</w:t>
      </w:r>
    </w:p>
    <w:p>
      <w:pPr>
        <w:pStyle w:val="PreambelText"/>
        <w:spacing w:before="240" w:after="240"/>
        <w:rPr>
          <w:lang w:val="el" w:eastAsia="el"/>
        </w:rPr>
      </w:pPr>
      <w:r>
        <w:rPr>
          <w:lang w:val="el" w:eastAsia="el"/>
        </w:rPr>
        <w:t>κστ.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κζ. του β.δ. της 24 Σεπτεμβρίου/20 Οκτωβρίου 1958 «Περί κωδικοποιήσεως εις ενιαίον κείμενον Νόμου των ισχυουσών διατάξεων περί των προσόδων των δήμων και κοινοτήτων» (Α’ 171).</w:t>
      </w:r>
    </w:p>
    <w:p>
      <w:pPr>
        <w:pStyle w:val="PreambelText"/>
        <w:spacing w:before="240" w:after="240"/>
        <w:rPr>
          <w:lang w:val="el" w:eastAsia="el"/>
        </w:rPr>
      </w:pPr>
      <w:r>
        <w:rPr>
          <w:lang w:val="el" w:eastAsia="el"/>
        </w:rPr>
        <w:t>κη. του π.δ. 50/2024 «Σύσταση Γενικών Γραμματειών, κατάργηση Γενικής Γραμματείας και Ειδικών Γραμματειών» (Α’ 138),</w:t>
      </w:r>
    </w:p>
    <w:p>
      <w:pPr>
        <w:pStyle w:val="PreambelText"/>
        <w:spacing w:before="240" w:after="240"/>
        <w:rPr>
          <w:lang w:val="el" w:eastAsia="el"/>
        </w:rPr>
      </w:pPr>
      <w:r>
        <w:rPr>
          <w:lang w:val="el" w:eastAsia="el"/>
        </w:rPr>
        <w:t>κη. του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2. Την υπό στοιχεία Υ12/07.07.2023 απόφαση του Πρωθηπουργού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3. Tην υπ’ αρ. 102928/10.07.2023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4. Την υπό στοιχεία 118944 ΕΞ2019/23-10-2019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 ΕΞ2020/25-02-2020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υπό στοιχεία 19803ΕΞ2025/17-06-2025 κοινή απόφαση των Υπουργών Εθνικής Οικονομίας και Οικονομικών, Εσωτερικών και Ψηφιακής Διακυβέρνησης «Δημιουργία και λειτουργία Πληροφοριακού Συστήματος με την ονομασία “Μητρώο Καταχώρισης Αδειών Χρήσης Κοινόχρηστων Χώρων”, σύμφωνα με την παρ. 3 του άρθρου 20 του ν. 5188/2025 (Α’ 49)» (Β’ 3405).</w:t>
      </w:r>
    </w:p>
    <w:p>
      <w:pPr>
        <w:pStyle w:val="PreambelText"/>
        <w:spacing w:before="240" w:after="240"/>
        <w:rPr>
          <w:lang w:val="el" w:eastAsia="el"/>
        </w:rPr>
      </w:pPr>
      <w:r>
        <w:rPr>
          <w:lang w:val="el" w:eastAsia="el"/>
        </w:rPr>
        <w:t>7. Την ανάγκη καθορισμού του τρόπου λειτουργίας και χρήσης της ηλεκτρονικής εφαρμογής «mystreet», του Υπουργείου Ψηφιακής Διακυβέρνησης όπως αυτό προβλέπεται στο άρθρο 20 του ν. 5188/2025 και κάθε άλλης αναγκαίας λεπτομέρειας.</w:t>
      </w:r>
    </w:p>
    <w:p>
      <w:pPr>
        <w:pStyle w:val="PreambelText"/>
        <w:spacing w:before="240" w:after="240"/>
        <w:rPr>
          <w:lang w:val="el" w:eastAsia="el"/>
        </w:rPr>
      </w:pPr>
      <w:r>
        <w:rPr>
          <w:lang w:val="el" w:eastAsia="el"/>
        </w:rPr>
        <w:t>8. Την υπό στοιχεία 17362ΕΞ2025 εισήγηση δημοσιονομικών επιπτώσεων της Γενικής Διεύθυνσης Οικονομικών Υπηρεσιών του Υπουργείου Ψηφιακής Διακυβέρνησης από την κοινή υπουργική απόφαση «Λειτουργία Ηλεκτρονικής εφαρμογής «mystreet» για τον έλεγχο της αυθαίρετης χρήσης κοινόχρηστων χώρων» και από την «Δημιουργία και λειτουργία Πληροφοριακού Συστήματος με την ονομασία «Μητρώο Καταχώρισης Αδειών Χρήσης Κοινόχρηστων Χώρων», προκύπτει δημοσιονομική επιβάρυνση ύψους €72.912,00, συμπεριλαμβανομένου ΦΠΑ, σύμφωνα με τη Σύμβαση 2703 της 05/05/2025 (25SYMV016782132) μεταξύ της εκτελούσας ΚτΠ ΜΑΕ και της υποεκτελούσας NOVOVILLE LTD GREEK BRANCH, στον προϋπολογισμό του ΑΠΔΕ του Υ.Ψη.Δ και στο Μ.Π.Δ.Σ. του Υπουργείου, η οποία θα καλυφθεί από το Εθνικό Σκέλος του ΑΠΔΕ του Υ.Ψη.Δ. και ειδικότερα από το έργο με ενάριθμο 2023ΝΑ16300005 και τίτλο «ΕΠΙΧΟΡΗΓΗΣΗ ΤΗΣ ΚτΠ ΑΕ ΓΙΑ ΤΗΝ ΥΠΟΣΤΗΡΙΞΗ ΤΟΥ ΥΠΟΥΡΓΕΙΟΥ ΨΗΦΙΑΚΗΣ ΔΙΑΚΥΒΕΡΝΗΣΗΣ ΚΑΙ ΤΗΝ ΛΕΙΤΟΥΡΓΙΑ ΤΗΣ ΩΣ ΒΑΣΙΚΟΣ ΒΡΑΧΙΟΝΑΣ ΥΛΟΠΟΙΗΣΗΣ ΣΤΟ ΠΛΑΙΣΙΟ ΤΟΥ ΨΗΦΙΑΚΟΥ ΜΕΤΑΣΧΗΜΑΤΙΣΜΟΥ ΤΗΣ ΧΩΡΑΣ (2019ΣΕ06300008)», συνολικού προϋπολογισμού ύψους € 13.099.785,62. Ενώ, η δαπάνη που θα προκληθεί σε βάρος των πιστώσεων του τακτικού προϋπολογισμού του Υ.ΨΗ.Δ., για το τρέχον οικονομικό έτος και για κάθε ένα από τα επόμενα έτη του Μ.Π.Δ.Σ. (ΕΦ 1053/204/0000000, ΑΛΕ 2420989001), και κατά συνέπεια του Μ.Π.Δ.Σ., αναλύεται ως εξής: α) Κόστος συντήρησης για διορθώσεις/αλλαγές του «my street», ποσού 37.200 ευρώ συμπεριλαμβανομένου ΦΠΑ 24%, ετησίως. β) Κόστος εκπόνησης μελέτης DPIA του συστήματος, ποσού 24.800 ευρώ συμπεριλαμβανομένου ΦΠΑ 24%. Τέλος, οι απαραίτητες παρεχόμενες από τη Γ.Γ.Π.Σ.Ψ.Δ. διαλειτουργικότητες με τα πληροφοριακά συστήματα του Δημόσιου Τομέα, η εγκατάσταση και λειτουργία του συστήματος στις υποδομές του Κυβερνητικού Νέφους (GCloud) της Δημόσιας Διοίκησης, καθώς και η χρήση της Ενιαίας Ψηφιακής Πύλης (gov.gr Ε.Ψ.Π), δεν προκαλούν δημοσιονομικές επιπτώσεις στον κρατικό προϋπολογισμό για το τρέχον οικονομικό έτος και για κάθε ένα από τα επόμενα έτη του Μ.Π.Δ.Σ.,</w:t>
      </w:r>
    </w:p>
    <w:p>
      <w:pPr>
        <w:pStyle w:val="PreambelText"/>
        <w:spacing w:before="240" w:after="240"/>
        <w:rPr>
          <w:lang w:val="el" w:eastAsia="el"/>
        </w:rPr>
      </w:pPr>
      <w:r>
        <w:rPr>
          <w:lang w:val="el" w:eastAsia="el"/>
        </w:rPr>
        <w:t>9. Το γεγονός ότι με τις διατάξεις της παρούσας τροποποείται η διοικητική διαδικασία με επίσημο τίτλο «Είσοδος και χρήση της ειδικής εφαρμογής MyStreet για πολίτες» και Μοναδικό Αριθμό Καταχώρισης (Μ.Α.Κ.) στο ΕΜΔΔ «Μίτος» «924441»,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Λειτουργία της ειδικής ηλεκτρονικής εφαρμογής «mystreet» της παρ. 1 του άρθρου 20 του</w:t>
      </w:r>
    </w:p>
    <w:p>
      <w:pPr>
        <w:spacing w:before="240" w:after="240"/>
        <w:rPr>
          <w:lang w:val="el" w:eastAsia="el"/>
        </w:rPr>
      </w:pPr>
      <w:r>
        <w:rPr>
          <w:lang w:val="el" w:eastAsia="el"/>
        </w:rPr>
        <w:t>ν. 5188/2025</w:t>
      </w:r>
    </w:p>
    <w:p>
      <w:pPr>
        <w:pStyle w:val="MainText"/>
        <w:spacing w:before="120" w:after="0"/>
        <w:rPr>
          <w:lang w:val="el" w:eastAsia="el"/>
        </w:rPr>
      </w:pPr>
      <w:r>
        <w:rPr>
          <w:b/>
          <w:bCs/>
          <w:lang w:val="el" w:eastAsia="el"/>
        </w:rPr>
        <w:t>1.</w:t>
      </w:r>
      <w:r>
        <w:rPr>
          <w:lang w:val="el" w:eastAsia="el"/>
        </w:rPr>
        <w:t xml:space="preserve"> Μέσω της ειδικής ηλεκτρονικής εφαρμογής «mystreet» της παρ. 1 του άρθρου 20 του ν. 5188/2025, εφεξής «εφαρμογή», κάθε φυσικό πρόσωπο δύναται να υποβάλλει καταγγελία προς τον αρμόδιο Δήμο σε περίπτωση που διαπιστώνει αυθαίρετη χρήση, ως προς την τοποθέτηση τραπεζοκαθισμάτων καταστημάτων, σε κοινόχρηστους χώρους εκτός αιγιαλού, όπως αυτή ορίζεται στο άρθρο 13 του β.δ. 24/1958 (Α’ 171). Για τη διαπίστωση της αυθαιρεσίας το φυσικό πρόσωπο αποκτά πρόσβαση μέσω της εφαρμογής σε ειδικά διαμορφωμένο χάρτη με περιγραφικά και γεωχωρικά δεδομένα της εκάστοτε παραχωρηθείσας περιοχής του κάθε Δήμου.</w:t>
      </w:r>
    </w:p>
    <w:p>
      <w:pPr>
        <w:spacing w:before="240" w:after="240"/>
        <w:rPr>
          <w:lang w:val="el" w:eastAsia="el"/>
        </w:rPr>
      </w:pPr>
      <w:r>
        <w:rPr>
          <w:lang w:val="el" w:eastAsia="el"/>
        </w:rPr>
        <w:t>Η Γενική Γραμματεία Πληροφοριακών Συστημάτων και Ψηφιακής Διακυβέρνησης (Γ.Γ.Π.Σ.Ψ.Δ.) του Υπουργείου Ψηφιακής Διακυβέρνησης είναι φορέας λειτουργίας και συντήρησης της εφαρμογής.</w:t>
      </w:r>
    </w:p>
    <w:p>
      <w:pPr>
        <w:pStyle w:val="MainText"/>
        <w:spacing w:before="120" w:after="0"/>
        <w:rPr>
          <w:lang w:val="el" w:eastAsia="el"/>
        </w:rPr>
      </w:pPr>
      <w:r>
        <w:rPr>
          <w:b/>
          <w:bCs/>
          <w:lang w:val="el" w:eastAsia="el"/>
        </w:rPr>
        <w:t>2.</w:t>
      </w:r>
      <w:r>
        <w:rPr>
          <w:lang w:val="el" w:eastAsia="el"/>
        </w:rPr>
        <w:t xml:space="preserve"> Η υποβολή καταγγελίας της παρ. 1 γίνεται με αξιοποίηση της εφαρμογής για έξυπνες κινητές συσκευές «mystreet», για τη χρήση της οποίας απαιτείται η προηγούμενη σύνδεση στο διαδίκτυο. Η εφαρμογή διατίθεται δωρεάν και μπορεί να εγκατασταθεί σε έξυπνες κινητές συσκευές με λειτουργικό Android ή iOS, όπως ταμπλέτες, κινητά τηλέφωνα και άλλες αντίστοιχες συσκευές των ενδιαφερομένων.</w:t>
      </w:r>
    </w:p>
    <w:p>
      <w:pPr>
        <w:pStyle w:val="MainText"/>
        <w:spacing w:before="120" w:after="0"/>
        <w:rPr>
          <w:lang w:val="el" w:eastAsia="el"/>
        </w:rPr>
      </w:pPr>
      <w:r>
        <w:rPr>
          <w:b/>
          <w:bCs/>
          <w:lang w:val="el" w:eastAsia="el"/>
        </w:rPr>
        <w:t>3.</w:t>
      </w:r>
      <w:r>
        <w:rPr>
          <w:lang w:val="el" w:eastAsia="el"/>
        </w:rPr>
        <w:t xml:space="preserve"> Με την είσοδό του στην εφαρμογή, το φυσικό πρόσωπο πρέπει να επιλέξει το είδος καταγγελίας που επιθυμεί να υποβάλει, επώνυμη ή ανώνυμη.</w:t>
      </w:r>
    </w:p>
    <w:p>
      <w:pPr>
        <w:pStyle w:val="MainText"/>
        <w:spacing w:before="120" w:after="0"/>
        <w:rPr>
          <w:lang w:val="el" w:eastAsia="el"/>
        </w:rPr>
      </w:pPr>
      <w:r>
        <w:rPr>
          <w:b/>
          <w:bCs/>
          <w:lang w:val="el" w:eastAsia="el"/>
        </w:rPr>
        <w:t>4.</w:t>
      </w:r>
      <w:r>
        <w:rPr>
          <w:lang w:val="el" w:eastAsia="el"/>
        </w:rPr>
        <w:t xml:space="preserve"> Εάν το φυσικό πρόσωπο επιθυμεί να υποβάλει επώνυμη καταγγελία, η είσοδός του στην εφαρμογή πραγματοποιείται με τη χρήση κωδικών διαπιστευτηρίων της ΓΓΠΣΨΔ. Ο χρήστης, εφόσον το επιθυμεί, συμπληρώνει προαιρετικά στοιχεία επικοινωνίας του, προκειμένου οι Δήμοι, εάν το κρίνουν απαραίτητο, να επικοινωνούν μαζί του. Μετά την επιτυχή υποβολή της καταγγελίας, η εφαρμογή εμφανίζει τον μοναδικό αριθμό της και την ημερομηνία υποβολής της.</w:t>
      </w:r>
    </w:p>
    <w:p>
      <w:pPr>
        <w:spacing w:before="240" w:after="240"/>
        <w:rPr>
          <w:lang w:val="el" w:eastAsia="el"/>
        </w:rPr>
      </w:pPr>
      <w:r>
        <w:rPr>
          <w:lang w:val="el" w:eastAsia="el"/>
        </w:rPr>
        <w:t>Εάν το φυσικό πρόσωπο επιθυμεί να υποβάλει ανώνυμη καταγγελία εισέρχεται στην εφαρμογή «ως επισκέπτης», χωρίς υποχρέωση συμπλήρωσης των προσωπικών του στοιχείων.</w:t>
      </w:r>
    </w:p>
    <w:p>
      <w:pPr>
        <w:pStyle w:val="MainText"/>
        <w:spacing w:before="120" w:after="0"/>
        <w:rPr>
          <w:lang w:val="el" w:eastAsia="el"/>
        </w:rPr>
      </w:pPr>
      <w:r>
        <w:rPr>
          <w:b/>
          <w:bCs/>
          <w:lang w:val="el" w:eastAsia="el"/>
        </w:rPr>
        <w:t>6.</w:t>
      </w:r>
      <w:r>
        <w:rPr>
          <w:lang w:val="el" w:eastAsia="el"/>
        </w:rPr>
        <w:t xml:space="preserve"> Ο ενδιαφερόμενος με την είσοδό του στην εφαρμογή, σύμφωνα με τις παρ. 4 και 5, περιηγείται στον χάρτη της παρ. 1 και εντοπίζει το πολύγωνο που τον ενδιαφέρει, όπου εμφανίζονται τα επιτρεπτά όρια της παραχωρηθείσας περιοχής στο εκάστοτε κατάστημα, όπως αυτά έχουν καταχωριστεί στο μητρώο «Ενιαίο Μητρώο Κοινόχρηστων Χώρων», εφεξής «Μητρώο».</w:t>
      </w:r>
    </w:p>
    <w:p>
      <w:pPr>
        <w:pStyle w:val="MainText"/>
        <w:spacing w:before="120" w:after="0"/>
        <w:rPr>
          <w:lang w:val="el" w:eastAsia="el"/>
        </w:rPr>
      </w:pPr>
      <w:r>
        <w:rPr>
          <w:b/>
          <w:bCs/>
          <w:lang w:val="el" w:eastAsia="el"/>
        </w:rPr>
        <w:t>7.</w:t>
      </w:r>
      <w:r>
        <w:rPr>
          <w:lang w:val="el" w:eastAsia="el"/>
        </w:rPr>
        <w:t xml:space="preserve"> Ο χρήστης της εφαρμογής σύμφωνα με την παρ. 4 μπορεί να περιηγηθεί μόνο στο ιστορικό των καταγγελιών που έχει υποβάλει επώνυμα και στα στοιχεία αυτών, ήτοι:</w:t>
      </w:r>
    </w:p>
    <w:p>
      <w:pPr>
        <w:pStyle w:val="StructureList1"/>
        <w:spacing w:before="120" w:after="0"/>
        <w:rPr>
          <w:lang w:val="el" w:eastAsia="el"/>
        </w:rPr>
      </w:pPr>
      <w:r>
        <w:rPr>
          <w:lang w:val="el" w:eastAsia="el"/>
        </w:rPr>
        <w:t>α)</w:t>
      </w:r>
      <w:r>
        <w:rPr>
          <w:lang w:val="en" w:eastAsia="en"/>
        </w:rPr>
        <w:tab/>
      </w:r>
      <w:r>
        <w:rPr>
          <w:lang w:val="el" w:eastAsia="el"/>
        </w:rPr>
        <w:t>Τον μοναδικό αριθμό και την ημερομηνία καταγγελίας,</w:t>
      </w:r>
    </w:p>
    <w:p>
      <w:pPr>
        <w:pStyle w:val="StructureList1"/>
        <w:spacing w:before="120" w:after="0"/>
        <w:rPr>
          <w:lang w:val="el" w:eastAsia="el"/>
        </w:rPr>
      </w:pPr>
      <w:r>
        <w:rPr>
          <w:lang w:val="el" w:eastAsia="el"/>
        </w:rPr>
        <w:t>β)</w:t>
      </w:r>
      <w:r>
        <w:rPr>
          <w:lang w:val="en" w:eastAsia="en"/>
        </w:rPr>
        <w:tab/>
      </w:r>
      <w:r>
        <w:rPr>
          <w:lang w:val="el" w:eastAsia="el"/>
        </w:rPr>
        <w:t>τον λόγο καταγγελίας,</w:t>
      </w:r>
    </w:p>
    <w:p>
      <w:pPr>
        <w:pStyle w:val="StructureList1"/>
        <w:spacing w:before="120" w:after="0"/>
        <w:rPr>
          <w:lang w:val="el" w:eastAsia="el"/>
        </w:rPr>
      </w:pPr>
      <w:r>
        <w:rPr>
          <w:lang w:val="el" w:eastAsia="el"/>
        </w:rPr>
        <w:t>γ)</w:t>
      </w:r>
      <w:r>
        <w:rPr>
          <w:lang w:val="en" w:eastAsia="en"/>
        </w:rPr>
        <w:tab/>
      </w:r>
      <w:r>
        <w:rPr>
          <w:lang w:val="el" w:eastAsia="el"/>
        </w:rPr>
        <w:t>τη συνοπτική περιγραφή της καταγγελίας</w:t>
      </w:r>
    </w:p>
    <w:p>
      <w:pPr>
        <w:pStyle w:val="StructureList1"/>
        <w:spacing w:before="120" w:after="0"/>
        <w:rPr>
          <w:lang w:val="el" w:eastAsia="el"/>
        </w:rPr>
      </w:pPr>
      <w:r>
        <w:rPr>
          <w:lang w:val="el" w:eastAsia="el"/>
        </w:rPr>
        <w:t>δ)</w:t>
      </w:r>
      <w:r>
        <w:rPr>
          <w:lang w:val="en" w:eastAsia="en"/>
        </w:rPr>
        <w:tab/>
      </w:r>
      <w:r>
        <w:rPr>
          <w:lang w:val="el" w:eastAsia="el"/>
        </w:rPr>
        <w:t>τα στοιχεία επικοινωνίας του,</w:t>
      </w:r>
    </w:p>
    <w:p>
      <w:pPr>
        <w:pStyle w:val="StructureList1"/>
        <w:spacing w:before="120" w:after="0"/>
        <w:rPr>
          <w:lang w:val="el" w:eastAsia="el"/>
        </w:rPr>
      </w:pPr>
      <w:r>
        <w:rPr>
          <w:lang w:val="el" w:eastAsia="el"/>
        </w:rPr>
        <w:t>ε)</w:t>
      </w:r>
      <w:r>
        <w:rPr>
          <w:lang w:val="en" w:eastAsia="en"/>
        </w:rPr>
        <w:tab/>
      </w:r>
      <w:r>
        <w:rPr>
          <w:lang w:val="el" w:eastAsia="el"/>
        </w:rPr>
        <w:t>τον δήμο και την τοποθεσία,</w:t>
      </w:r>
    </w:p>
    <w:p>
      <w:pPr>
        <w:pStyle w:val="MainText"/>
        <w:spacing w:before="120" w:after="0"/>
        <w:rPr>
          <w:lang w:val="el" w:eastAsia="el"/>
        </w:rPr>
      </w:pPr>
      <w:r>
        <w:rPr>
          <w:b/>
          <w:bCs/>
          <w:lang w:val="el" w:eastAsia="el"/>
        </w:rPr>
        <w:t>8.</w:t>
      </w:r>
      <w:r>
        <w:rPr>
          <w:lang w:val="el" w:eastAsia="el"/>
        </w:rPr>
        <w:t xml:space="preserve"> Η δυνατότητα υποβολής καταγγελίας υπόκειται στους εξής περιορισμούς:</w:t>
      </w:r>
    </w:p>
    <w:p>
      <w:pPr>
        <w:pStyle w:val="StructureList1"/>
        <w:spacing w:before="120" w:after="0"/>
        <w:rPr>
          <w:lang w:val="el" w:eastAsia="el"/>
        </w:rPr>
      </w:pPr>
      <w:r>
        <w:rPr>
          <w:lang w:val="el" w:eastAsia="el"/>
        </w:rPr>
        <w:t>α)</w:t>
      </w:r>
      <w:r>
        <w:rPr>
          <w:lang w:val="en" w:eastAsia="en"/>
        </w:rPr>
        <w:tab/>
      </w:r>
      <w:r>
        <w:rPr>
          <w:lang w:val="el" w:eastAsia="el"/>
        </w:rPr>
        <w:t>Μία μόνον καταγγελία μπορεί να υποβληθεί την ίδια ημέρα από την ίδια συσκευή και για την ίδια παραχώρηση,</w:t>
      </w:r>
    </w:p>
    <w:p>
      <w:pPr>
        <w:pStyle w:val="StructureList1"/>
        <w:spacing w:before="120" w:after="0"/>
        <w:rPr>
          <w:lang w:val="el" w:eastAsia="el"/>
        </w:rPr>
      </w:pPr>
      <w:r>
        <w:rPr>
          <w:lang w:val="el" w:eastAsia="el"/>
        </w:rPr>
        <w:t>β)</w:t>
      </w:r>
      <w:r>
        <w:rPr>
          <w:lang w:val="en" w:eastAsia="en"/>
        </w:rPr>
        <w:tab/>
      </w:r>
      <w:r>
        <w:rPr>
          <w:lang w:val="el" w:eastAsia="el"/>
        </w:rPr>
        <w:t>η καταγγελία μπορεί να υποβληθεί από κινητή συσκευή που βρίσκεται κοντά στο σημείο ενδιαφέροντος.</w:t>
      </w:r>
    </w:p>
    <w:p>
      <w:pPr>
        <w:pStyle w:val="MainText"/>
        <w:spacing w:before="120" w:after="0"/>
        <w:rPr>
          <w:lang w:val="el" w:eastAsia="el"/>
        </w:rPr>
      </w:pPr>
      <w:r>
        <w:rPr>
          <w:b/>
          <w:bCs/>
          <w:lang w:val="el" w:eastAsia="el"/>
        </w:rPr>
        <w:t>9.</w:t>
      </w:r>
      <w:r>
        <w:rPr>
          <w:lang w:val="el" w:eastAsia="el"/>
        </w:rPr>
        <w:t xml:space="preserve"> Σε περίπτωση που δεν καθίσταται δυνατή η υποβολή καταγγελίας μέσω της εν λόγω εφαρμογής, καταγγελίες για αυθαίρετη χρήση κοινόχρηστων χώρων, ως προς την τοποθέτηση τραπεζοκαθισμάτων καταστημάτων γίνονται με οποιοδήποτε άλλο πρόσφορο μέσο ενώπιον οποιασδήποτε αρμόδιας δημόσιας αρχής, η οποία υποχρεούται να την διαβιβάσει αυθημερόν στον αρμόδιο Δήμο με τη χρήση ηλεκτρονικών μέσων.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Εξέταση καταγγελιών</w:t>
      </w:r>
    </w:p>
    <w:p>
      <w:pPr>
        <w:pStyle w:val="MainText"/>
        <w:spacing w:before="120" w:after="0"/>
        <w:rPr>
          <w:lang w:val="el" w:eastAsia="el"/>
        </w:rPr>
      </w:pPr>
      <w:r>
        <w:rPr>
          <w:b/>
          <w:bCs/>
          <w:lang w:val="el" w:eastAsia="el"/>
        </w:rPr>
        <w:t>1.</w:t>
      </w:r>
      <w:r>
        <w:rPr>
          <w:lang w:val="el" w:eastAsia="el"/>
        </w:rPr>
        <w:t xml:space="preserve"> Όλες οι καταγγελίες που έχουν υποβληθεί εμφανίζονται στο Μητρώο, προκειμένου να εξεταστούν από τον αρμόδιο Δήμο. Οι Δήμοι δύνανται να εξετάζουν τις καταγγελίες αφού τις κατηγοριοποιήσουν ενδεικτικώς αναλόγως: α) Του πλήθους τους ανά θέση, β) της βαρύτητας της φερόμενης παραβίασης των επιτρεπτών ορίων του καταστήματος, γ) του ορισμένου ή αόριστου περιεχομένου τους ή δ) του επώνυμου ή ανώνυμου χαρακτήρα τους.</w:t>
      </w:r>
    </w:p>
    <w:p>
      <w:pPr>
        <w:pStyle w:val="MainText"/>
        <w:spacing w:before="120" w:after="0"/>
        <w:rPr>
          <w:lang w:val="el" w:eastAsia="el"/>
        </w:rPr>
      </w:pPr>
      <w:r>
        <w:rPr>
          <w:b/>
          <w:bCs/>
          <w:lang w:val="el" w:eastAsia="el"/>
        </w:rPr>
        <w:t>2.</w:t>
      </w:r>
      <w:r>
        <w:rPr>
          <w:lang w:val="el" w:eastAsia="el"/>
        </w:rPr>
        <w:t xml:space="preserve"> Ο αρμόδιος Δήμος λαμβάνει γνώση των καταγγελιών και των στοιχείων τους.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Διαλειτουργικότητες</w:t>
      </w:r>
    </w:p>
    <w:p>
      <w:pPr>
        <w:spacing w:before="240" w:after="240"/>
        <w:rPr>
          <w:lang w:val="el" w:eastAsia="el"/>
        </w:rPr>
      </w:pPr>
      <w:r>
        <w:rPr>
          <w:lang w:val="el" w:eastAsia="el"/>
        </w:rPr>
        <w:t>Το Κέντρο Διαλειτουργικότητας της Γ.Γ.Π.Σ.Ψ.Δ. του Υπουργείου Ψηφιακής Διακυβέρνησης παρέχει τις απαραίτητες διαλειτουργικότητες του Συστήματος, για την αυθεντικοποίηση των χρηστών, σύμφωνα με τα ειδικώς οριζόμενα στην παρούσα, στο ισχύον Πλαίσιο Ασφάλειας Πληροφοριακών Συστημάτων της ΓΓΠΣΨΔ, στην πολιτική ορθής χρήσης διαδικτυακών υπηρεσιών και στις διατάξεις περί προστασίας τυχόν δεδομένων προσωπικού χαρακτήρα.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Οργανωτικά και τεχνικά μέτρα ασφαλείας</w:t>
      </w:r>
    </w:p>
    <w:p>
      <w:pPr>
        <w:spacing w:before="240" w:after="240"/>
        <w:rPr>
          <w:lang w:val="el" w:eastAsia="el"/>
        </w:rPr>
      </w:pPr>
      <w:r>
        <w:rPr>
          <w:lang w:val="el" w:eastAsia="el"/>
        </w:rPr>
        <w:t>Το Υπουργείο Ψηφιακής Διακυβέρνησης λαμβάνει τα απαραίτητα τεχνικά και οργανωτικά μέτρα για την ασφάλεια των στοιχείων που υποβάλλονται στο σύστημα. Στα μέτρα αυτά περιλαμβάνονται, κατ’ ελάχιστον, η καταγραφή και παρακολούθηση των προσβάσεων, η διασφάλιση ιχνηλασιμότητας και η προστασία των διακινούμενων δεδομένων από κάθε παραβίαση, καθώς και από σκόπιμη ή τυχαία απειλή.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Υπεύθυνοι επεξεργασίας δεδομένων</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ενεργεί ως υπεύθυνος επεξεργασίας σύμφωνα με την περ. 7 του άρθρου 4 του Γενικού Κανονισμού Προστασίας Δεδομένων (ΓΚΠΔ).</w:t>
      </w:r>
    </w:p>
    <w:p>
      <w:pPr>
        <w:pStyle w:val="MainText"/>
        <w:spacing w:before="120" w:after="0"/>
        <w:rPr>
          <w:lang w:val="el" w:eastAsia="el"/>
        </w:rPr>
      </w:pPr>
      <w:r>
        <w:rPr>
          <w:b/>
          <w:bCs/>
          <w:lang w:val="el" w:eastAsia="el"/>
        </w:rPr>
        <w:t>2.</w:t>
      </w:r>
      <w:r>
        <w:rPr>
          <w:lang w:val="el" w:eastAsia="el"/>
        </w:rPr>
        <w:t xml:space="preserve"> Ο υπεύθυνος επεξεργασίας αναλαμβάνει την προστασία των δεδομένων προσωπικού χαρακτήρα και άλλων δεδομένων από κάθε πηγή, καθώς και την επεξεργασία αυτών υπό συνθήκες που διασφαλίζουν την ακεραιότητα, την εμπιστευτικότητα και τη διαθεσιμότητα των δεδομένων, εφαρμόζοντας τα κατάλληλα τεχνικά και οργανωτικά μέτρα.</w:t>
      </w:r>
    </w:p>
    <w:p>
      <w:pPr>
        <w:pStyle w:val="MainText"/>
        <w:spacing w:before="120" w:after="0"/>
        <w:rPr>
          <w:lang w:val="el" w:eastAsia="el"/>
        </w:rPr>
      </w:pPr>
      <w:r>
        <w:rPr>
          <w:b/>
          <w:bCs/>
          <w:lang w:val="el" w:eastAsia="el"/>
        </w:rPr>
        <w:t>3.</w:t>
      </w:r>
      <w:r>
        <w:rPr>
          <w:lang w:val="el" w:eastAsia="el"/>
        </w:rPr>
        <w:t xml:space="preserve"> Οι Δήμοι ενεργούν ως αυτοτελώς υπεύθυνοι επεξεργασίας για τις καταγγελίες αρμοδιότητάς τους.</w:t>
      </w:r>
    </w:p>
    <w:p>
      <w:pPr>
        <w:pStyle w:val="MainText"/>
        <w:spacing w:before="120" w:after="0"/>
        <w:rPr>
          <w:lang w:val="el" w:eastAsia="el"/>
        </w:rPr>
      </w:pPr>
      <w:r>
        <w:rPr>
          <w:b/>
          <w:bCs/>
          <w:lang w:val="el" w:eastAsia="el"/>
        </w:rPr>
        <w:t>4.</w:t>
      </w:r>
      <w:r>
        <w:rPr>
          <w:lang w:val="el" w:eastAsia="el"/>
        </w:rPr>
        <w:t xml:space="preserve"> Η Γ.Γ.Π.Σ.Ψ.Δ. του Υπουργείου Ψηφιακής Διακυβέρνησης ενεργεί ως εκτελούσα την επεξεργασία για λογαριασμό του Υπουργείου Εσωτερικών, κατά την έννοια της περ. 8 του άρθρου 4 του Γενικού Κανονισμού Προστασίας Δεδομένων (ΓΚΠΔ), καθόσον αφορά στις πράξεις που διενεργούνται σύμφωνα με τα οριζόμενα στα άρθρα 1 και 3 της παρούσας και υποβάλλονται σε επεξεργασία μόνο τα δεδομένα προσωπικού χαρακτήρα που ορίζονται στις εν λόγω διατάξεις.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ΝΙΚΟΛΑΟΣ</w:t>
      </w:r>
    </w:p>
    <w:p>
      <w:pPr>
        <w:spacing w:before="240" w:after="240"/>
        <w:rPr>
          <w:lang w:val="el" w:eastAsia="el"/>
        </w:rPr>
      </w:pPr>
      <w:r>
        <w:rPr>
          <w:lang w:val="el" w:eastAsia="el"/>
        </w:rPr>
        <w:t>ΠΑΠΑΘΑΝΑΣΗΣ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w:t>
      </w:r>
    </w:p>
    <w:p>
      <w:pPr>
        <w:spacing w:before="240" w:after="240"/>
        <w:rPr>
          <w:lang w:val="el" w:eastAsia="el"/>
        </w:rPr>
      </w:pPr>
      <w:r>
        <w:rPr>
          <w:lang w:val="el" w:eastAsia="el"/>
        </w:rPr>
        <w:t>ΛΙΒΑΝΙΟΣ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w:t>
      </w:r>
    </w:p>
    <w:p>
      <w:pPr>
        <w:spacing w:before="240" w:after="240"/>
        <w:rPr>
          <w:lang w:val="el" w:eastAsia="el"/>
        </w:rPr>
      </w:pPr>
      <w:r>
        <w:rPr>
          <w:b/>
          <w:bCs/>
          <w:lang w:val="el" w:eastAsia="el"/>
        </w:rPr>
        <w:t>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