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01/08/2025</w:t>
      </w:r>
    </w:p>
    <w:p>
      <w:pPr>
        <w:pStyle w:val="PreambelText"/>
        <w:spacing w:before="240" w:after="240"/>
        <w:rPr>
          <w:lang w:val="el" w:eastAsia="el"/>
        </w:rPr>
      </w:pPr>
      <w:r>
        <w:rPr>
          <w:lang w:val="el" w:eastAsia="el"/>
        </w:rPr>
        <w:t>Α. Π.: Εισερχ. Α1111</w:t>
      </w:r>
    </w:p>
    <w:p>
      <w:pPr>
        <w:pStyle w:val="PreambelText"/>
        <w:spacing w:before="240" w:after="240"/>
        <w:rPr>
          <w:lang w:val="el" w:eastAsia="el"/>
        </w:rPr>
      </w:pPr>
      <w:r>
        <w:rPr>
          <w:lang w:val="el" w:eastAsia="el"/>
        </w:rPr>
        <w:t>Α. Π. Αποστολέα: Α1111</w:t>
      </w:r>
    </w:p>
    <w:p>
      <w:pPr>
        <w:pStyle w:val="PreambelText"/>
        <w:spacing w:before="240" w:after="240"/>
        <w:rPr>
          <w:lang w:val="el" w:eastAsia="el"/>
        </w:rPr>
      </w:pPr>
      <w:r>
        <w:rPr>
          <w:lang w:val="el" w:eastAsia="el"/>
        </w:rPr>
        <w:t>Ημ/νία Αποστολής: 01/08/2025</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ΨΠΟΧ46ΜΠ3Ζ-ΦΤΡ</w:t>
      </w:r>
    </w:p>
    <w:p>
      <w:pPr>
        <w:pStyle w:val="PreambelText"/>
        <w:spacing w:before="240" w:after="240"/>
        <w:rPr>
          <w:lang w:val="el" w:eastAsia="el"/>
        </w:rPr>
      </w:pPr>
      <w:r>
        <w:rPr>
          <w:b/>
          <w:bCs/>
          <w:lang w:val="el" w:eastAsia="el"/>
        </w:rPr>
        <w:t>ΑΡΙΘ.ΦΕΚ: Β/4260</w:t>
      </w:r>
    </w:p>
    <w:p>
      <w:pPr>
        <w:pStyle w:val="PreambelText"/>
        <w:spacing w:before="240" w:after="240"/>
        <w:rPr>
          <w:lang w:val="el" w:eastAsia="el"/>
        </w:rPr>
      </w:pPr>
      <w:r>
        <w:rPr>
          <w:b/>
          <w:bCs/>
          <w:lang w:val="el" w:eastAsia="el"/>
        </w:rPr>
        <w:t>Μοσχάτο , 31/07/2025</w:t>
      </w:r>
    </w:p>
    <w:p>
      <w:pPr>
        <w:pStyle w:val="PreambelText"/>
        <w:spacing w:before="240" w:after="240"/>
        <w:rPr>
          <w:lang w:val="el" w:eastAsia="el"/>
        </w:rPr>
      </w:pPr>
      <w:r>
        <w:rPr>
          <w:b/>
          <w:bCs/>
          <w:lang w:val="el" w:eastAsia="el"/>
        </w:rPr>
        <w:t>ΓΕΝΙΚΗ ΔΙΕΥΘΥΝΣΗ ΗΛΕΚΤΡΟΝΙΚΗΣ ΔΙΑΚΥΒΕΡΝΗΣΗΣ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Πειραιώς 72 &amp; Πύργου</w:t>
      </w:r>
    </w:p>
    <w:p>
      <w:pPr>
        <w:spacing w:before="240" w:after="240"/>
        <w:rPr>
          <w:lang w:val="el" w:eastAsia="el"/>
        </w:rPr>
      </w:pPr>
      <w:r>
        <w:rPr>
          <w:b/>
          <w:bCs/>
          <w:lang w:val="el" w:eastAsia="el"/>
        </w:rPr>
        <w:t>18346 - Μοσχάτο Δ.Μουγάκος,Μ.Γάσπαρη,</w:t>
      </w:r>
    </w:p>
    <w:p>
      <w:pPr>
        <w:spacing w:before="240" w:after="240"/>
        <w:rPr>
          <w:lang w:val="el" w:eastAsia="el"/>
        </w:rPr>
      </w:pPr>
      <w:r>
        <w:rPr>
          <w:b/>
          <w:bCs/>
          <w:lang w:val="el" w:eastAsia="el"/>
        </w:rPr>
        <w:t>Π.Μαυρίδης</w:t>
      </w:r>
    </w:p>
    <w:p>
      <w:pPr>
        <w:spacing w:before="240" w:after="240"/>
        <w:rPr>
          <w:lang w:val="el" w:eastAsia="el"/>
        </w:rPr>
      </w:pPr>
      <w:r>
        <w:rPr>
          <w:b/>
          <w:bCs/>
          <w:lang w:val="el" w:eastAsia="el"/>
        </w:rPr>
        <w:t xml:space="preserve">213 135 6563 </w:t>
      </w:r>
      <w:hyperlink r:id="rId4" w:history="1">
        <w:r>
          <w:rPr>
            <w:rStyle w:val="Hyperlink"/>
            <w:b/>
            <w:bCs/>
            <w:color w:val="0000EE"/>
            <w:u w:color="0000EE"/>
            <w:lang w:val="el" w:eastAsia="el"/>
          </w:rPr>
          <w:t>didypod.5@aade.gr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 «Τροποποίηση της ΠΟΛ 1220/2012 απόφασης Υφυπουργού Οικονομικών «Κωδικοποίηση – Συμπλήρωση τεχνικών προδιαγραφών φορολογικών</w:t>
      </w:r>
    </w:p>
    <w:p>
      <w:pPr>
        <w:spacing w:before="240" w:after="240"/>
        <w:rPr>
          <w:lang w:val="el" w:eastAsia="el"/>
        </w:rPr>
      </w:pPr>
      <w:r>
        <w:rPr>
          <w:b/>
          <w:bCs/>
          <w:lang w:val="el" w:eastAsia="el"/>
        </w:rPr>
        <w:t>Ηλεκτρονικών Μηχανισμών και Συστημάτων. Διαδικασίες χρήσης και λειτουργίας τους. Προδιαγραφές αποστελλόμενων αρχείων στην ΓΓΠΣ» (Β’ 3517) ως προς τις τεχνικές προδιαγραφές ΑΔΗΜΕ αυτόματων πωλητών»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 και 13 του άρθρου 12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του άρθρου 41, γ) των παρ. 1 και 6 του άρθρου 20 του ν.3842/2010 «Αποκατάσταση φορολογικής δικαιοσύνης, αντιμετώπιση της φοροδιαφυγής και άλλες διατάξεις» (Α΄58), όπως αντικαταστάθηκαν από τις διατάξεις της παρ. 1 του άρθρου 69 του ν. 4446/2016 (Α΄ 240) και του άρθρου 75 του ν. 4472/2017 (Α΄74) αντίστοιχα,</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Απόφασης Γ.Γ.Δ.Ε. ΠΟΛ. 1068/1.4.2015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Α.Υ.Ο. ΠΟΛ. 1220/2012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Α.1098/13-7-2022 Απόφασης του Διοικητή της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Α.1171/3-8-2021 Απόφασης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myDATA».(Β’3596),</w:t>
      </w:r>
    </w:p>
    <w:p>
      <w:pPr>
        <w:pStyle w:val="StructureList1"/>
        <w:spacing w:before="120" w:after="0"/>
        <w:rPr>
          <w:lang w:val="el" w:eastAsia="el"/>
        </w:rPr>
      </w:pPr>
      <w:r>
        <w:rPr>
          <w:lang w:val="el" w:eastAsia="el"/>
        </w:rPr>
        <w:t>ι)</w:t>
      </w:r>
      <w:r>
        <w:rPr>
          <w:lang w:val="en" w:eastAsia="en"/>
        </w:rPr>
        <w:tab/>
      </w:r>
      <w:r>
        <w:rPr>
          <w:b/>
          <w:bCs/>
          <w:lang w:val="el" w:eastAsia="el"/>
        </w:rPr>
        <w:t>υπό στοιχεία Α.1201/27-12-2024 Απόφασης του Διοικητή της ΑΑΔΕ «Τροποποίηση της υπό στοιχεία ΠΟΛ.1002/31.12.2014 απόφασης της Γενικής Γραμματέως Δημοσίων Εσόδων (Γ.Γ.Δ.Ε.)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Α.1173/7-12-2022 Απόφασης του Διοικητή της ΑΑΔΕ «Τροποποίηση τεχνικών προδιαγραφών ΦΗΜ.» (Β’6953) και</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2020/17.01.2020 (Υ.Ο.Δ.Δ. 27) απόφαση του Υπουργού Οικονομικών καθώς και την υπ’ αρ. 7608/17.1.2025 (Υ.Ο.Δ.Δ. 11) απόφαση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τροποποίησης – συμπλήρωσης των τεχνικών προδιαγραφών των ΑΔΗΜΕ αυτόματων πωλητών.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Το Άρθρο 18 του κεφαλαίου 2 της ΠΟΛ 1220/2012 αντικαθίσταται ως εξής:</w:t>
      </w:r>
    </w:p>
    <w:p>
      <w:pPr>
        <w:spacing w:before="240" w:after="240"/>
        <w:rPr>
          <w:lang w:val="el" w:eastAsia="el"/>
        </w:rPr>
      </w:pPr>
      <w:r>
        <w:rPr>
          <w:b/>
          <w:bCs/>
          <w:lang w:val="el" w:eastAsia="el"/>
        </w:rPr>
        <w:t>« Άρθρο 18: ΑΔΗΜΕ αυτόματων πωλητών.</w:t>
      </w:r>
    </w:p>
    <w:p>
      <w:pPr>
        <w:spacing w:before="240" w:after="240"/>
        <w:rPr>
          <w:lang w:val="el" w:eastAsia="el"/>
        </w:rPr>
      </w:pPr>
      <w:r>
        <w:rPr>
          <w:lang w:val="el" w:eastAsia="el"/>
        </w:rPr>
        <w:t xml:space="preserve">18.1. </w:t>
      </w:r>
      <w:r>
        <w:rPr>
          <w:b/>
          <w:bCs/>
          <w:lang w:val="el" w:eastAsia="el"/>
        </w:rPr>
        <w:t>Γενικά.</w:t>
      </w:r>
    </w:p>
    <w:p>
      <w:pPr>
        <w:spacing w:before="240" w:after="240"/>
        <w:rPr>
          <w:lang w:val="el" w:eastAsia="el"/>
        </w:rPr>
      </w:pPr>
      <w:r>
        <w:rPr>
          <w:lang w:val="el" w:eastAsia="el"/>
        </w:rPr>
        <w:t xml:space="preserve">18.1.1. </w:t>
      </w:r>
      <w:r>
        <w:rPr>
          <w:b/>
          <w:bCs/>
          <w:lang w:val="el" w:eastAsia="el"/>
        </w:rPr>
        <w:t>Ως «αυτόματος πωλητής» ορίζεται ένα μηχάνημα που πωλεί προϊόντα ή προσφέρει υπηρεσίες (π.χ. πλυντήριο αυτοκινήτων) καταβάλλοντας ένα τέλος στον παραλήπτη πληρωμής.</w:t>
      </w:r>
    </w:p>
    <w:p>
      <w:pPr>
        <w:spacing w:before="240" w:after="240"/>
        <w:rPr>
          <w:lang w:val="el" w:eastAsia="el"/>
        </w:rPr>
      </w:pPr>
      <w:r>
        <w:rPr>
          <w:lang w:val="el" w:eastAsia="el"/>
        </w:rPr>
        <w:t xml:space="preserve">18.1.2. </w:t>
      </w:r>
      <w:r>
        <w:rPr>
          <w:b/>
          <w:bCs/>
          <w:lang w:val="el" w:eastAsia="el"/>
        </w:rPr>
        <w:t>Η θέση (τοποθέτηση) της ΑΔΗΜΕ αυτόματου πωλητή είναι στο κλειδωμένο εσωτερικό του αυτόματου πωλητή. Η ΑΔΗΜΕ αυτόματου πωλητή παρεμβάλλεται στο δίαυλο (BUS) που ξεκινά από τη μητρική πλακέτα του αυτόματου πωλητή και στο οποίο είναι συνδεδεμένος ο κερματοδέκτης, το EFTPOS και άλλες συσκευές (devices) του αυτόματου πωλητή.</w:t>
      </w:r>
    </w:p>
    <w:p>
      <w:pPr>
        <w:spacing w:before="240" w:after="240"/>
        <w:rPr>
          <w:lang w:val="el" w:eastAsia="el"/>
        </w:rPr>
      </w:pPr>
      <w:r>
        <w:rPr>
          <w:lang w:val="el" w:eastAsia="el"/>
        </w:rPr>
        <w:t xml:space="preserve">18.1.3. </w:t>
      </w:r>
      <w:r>
        <w:rPr>
          <w:b/>
          <w:bCs/>
          <w:lang w:val="el" w:eastAsia="el"/>
        </w:rPr>
        <w:t>Η ΑΔΗΜΕ αυτόματου πωλητή είναι συμβατή με τα πρωτόκολλα επικοινωνίας EXECUTIVE, MDB/IPC και τουλάχιστον με ένα από τα πρωτόκολλα επικοινωνίας PARALLEL, PULSE, MARSHALL, ώστε να μπορεί να εγκατασταθεί σε οποιονδήποτε αυτόματο πωλητή λειτουργεί σε ένα από τα παραπάνω πρωτόκολλα. Είναι επιθυμητή αλλά όχι υποχρεωτική η ενσωμάτωση και άλλων πρωτοκόλλων όπως το CCTALK. Από τις ρυθμίσεις ΑΔΗΜΕ αυτόματου πωλητή, επιλέγεται το πρωτόκολλο επικοινωνίας του αυτόματου πωλητή.</w:t>
      </w:r>
    </w:p>
    <w:p>
      <w:pPr>
        <w:spacing w:before="240" w:after="240"/>
        <w:rPr>
          <w:lang w:val="el" w:eastAsia="el"/>
        </w:rPr>
      </w:pPr>
      <w:r>
        <w:rPr>
          <w:lang w:val="el" w:eastAsia="el"/>
        </w:rPr>
        <w:t xml:space="preserve">18.1.4. </w:t>
      </w:r>
      <w:r>
        <w:rPr>
          <w:b/>
          <w:bCs/>
          <w:lang w:val="el" w:eastAsia="el"/>
        </w:rPr>
        <w:t>Εάν για οποιονδήποτε λόγο η ΑΔΗΜΕ αυτόματου πωλητή δεν λειτουργεί σωστά, η επικοινωνία στο δίαυλο (BUS) διακόπτεται, και ο αυτόματος πωλητής παύει να λειτουργεί.</w:t>
      </w:r>
    </w:p>
    <w:p>
      <w:pPr>
        <w:spacing w:before="240" w:after="240"/>
        <w:rPr>
          <w:lang w:val="el" w:eastAsia="el"/>
        </w:rPr>
      </w:pPr>
      <w:r>
        <w:rPr>
          <w:lang w:val="el" w:eastAsia="el"/>
        </w:rPr>
        <w:t xml:space="preserve">18.1.5. </w:t>
      </w:r>
      <w:r>
        <w:rPr>
          <w:b/>
          <w:bCs/>
          <w:lang w:val="el" w:eastAsia="el"/>
        </w:rPr>
        <w:t>Η πλήρης περιγραφή της διεπαφής, καθώς και τα πρωτόκολλα επικοινωνίας, υποβάλλονται λεπτομερώς στην αρμόδια Επιτροπή.</w:t>
      </w:r>
    </w:p>
    <w:p>
      <w:pPr>
        <w:spacing w:before="240" w:after="240"/>
        <w:rPr>
          <w:lang w:val="el" w:eastAsia="el"/>
        </w:rPr>
      </w:pPr>
      <w:r>
        <w:rPr>
          <w:lang w:val="el" w:eastAsia="el"/>
        </w:rPr>
        <w:t xml:space="preserve">18.1.6. </w:t>
      </w:r>
      <w:r>
        <w:rPr>
          <w:b/>
          <w:bCs/>
          <w:lang w:val="el" w:eastAsia="el"/>
        </w:rPr>
        <w:t>Οι ΑΔΗΜΕ αυτόματων πωλητών έχουν ανεξάρτητη είσοδο τροφοδοσίας, είτε εναλλασσόμενη (τάση 230V ± 10%, συχνότητα 50Hz ± 5%) είτε συνεχή (3 έως 24 VDC) ή θα τροφοδοτούνται από τους αυτόματους πωλητές.</w:t>
      </w:r>
    </w:p>
    <w:p>
      <w:pPr>
        <w:spacing w:before="240" w:after="240"/>
        <w:rPr>
          <w:lang w:val="el" w:eastAsia="el"/>
        </w:rPr>
      </w:pPr>
      <w:r>
        <w:rPr>
          <w:lang w:val="el" w:eastAsia="el"/>
        </w:rPr>
        <w:t xml:space="preserve">18.1.7. </w:t>
      </w:r>
      <w:r>
        <w:rPr>
          <w:b/>
          <w:bCs/>
          <w:lang w:val="el" w:eastAsia="el"/>
        </w:rPr>
        <w:t>Κάθε εξωτερική παροχή ηλεκτρικής ενέργειας (ανορθωτής - μετασχηματιστής κ.λπ.) θεωρείται αναπόσπαστο μέρος της ΑΔΗΜΕ αυτόματου πωλητή και της έγκρισής της.</w:t>
      </w:r>
    </w:p>
    <w:p>
      <w:pPr>
        <w:spacing w:before="240" w:after="240"/>
        <w:rPr>
          <w:lang w:val="el" w:eastAsia="el"/>
        </w:rPr>
      </w:pPr>
      <w:r>
        <w:rPr>
          <w:lang w:val="el" w:eastAsia="el"/>
        </w:rPr>
        <w:t xml:space="preserve">18.1.8. </w:t>
      </w:r>
      <w:r>
        <w:rPr>
          <w:b/>
          <w:bCs/>
          <w:lang w:val="el" w:eastAsia="el"/>
        </w:rPr>
        <w:t>Ιδίως για τα τροφοδοτικά των ΑΔΗΜΕ αυτόματου πωλητή, εφαρμόζονται οι διατάξεις της παραγράφου 6 του κεφαλαίου 2.</w:t>
      </w:r>
    </w:p>
    <w:p>
      <w:pPr>
        <w:spacing w:before="240" w:after="240"/>
        <w:rPr>
          <w:lang w:val="el" w:eastAsia="el"/>
        </w:rPr>
      </w:pPr>
      <w:r>
        <w:rPr>
          <w:lang w:val="el" w:eastAsia="el"/>
        </w:rPr>
        <w:t xml:space="preserve">18.1.9. </w:t>
      </w:r>
      <w:r>
        <w:rPr>
          <w:b/>
          <w:bCs/>
          <w:lang w:val="el" w:eastAsia="el"/>
        </w:rPr>
        <w:t>Στις ΑΔΗΜΕ αυτόματων πωλητών εφαρμόζονται όλες οι τεχνικές και λειτουργικές προδιαγραφές που ισχύουν για όλους τους ΦΗΜ και ιδιαίτερα οι διατάξεις των παραγράφων 2.6. και 14, του κεφαλαίου 2.</w:t>
      </w:r>
    </w:p>
    <w:p>
      <w:pPr>
        <w:spacing w:before="240" w:after="240"/>
        <w:rPr>
          <w:lang w:val="el" w:eastAsia="el"/>
        </w:rPr>
      </w:pPr>
      <w:r>
        <w:rPr>
          <w:lang w:val="el" w:eastAsia="el"/>
        </w:rPr>
        <w:t xml:space="preserve">18.1.10. </w:t>
      </w:r>
      <w:r>
        <w:rPr>
          <w:b/>
          <w:bCs/>
          <w:lang w:val="el" w:eastAsia="el"/>
        </w:rPr>
        <w:t>Αντίγραφο της μεταλλικής ετικέτας που αναφέρεται στο άρθρο 2.17.2.1. του κεφαλαίου 2 τοποθετείται εξωτερικά του αυτόματου πωλητή, σε σημείο εύκολα ορατό από τον πελάτη.</w:t>
      </w:r>
    </w:p>
    <w:p>
      <w:pPr>
        <w:spacing w:before="240" w:after="240"/>
        <w:rPr>
          <w:lang w:val="el" w:eastAsia="el"/>
        </w:rPr>
      </w:pPr>
      <w:r>
        <w:rPr>
          <w:lang w:val="el" w:eastAsia="el"/>
        </w:rPr>
        <w:t xml:space="preserve">18.2. </w:t>
      </w:r>
      <w:r>
        <w:rPr>
          <w:b/>
          <w:bCs/>
          <w:lang w:val="el" w:eastAsia="el"/>
        </w:rPr>
        <w:t>Η αυτόματα εκδοθείσα φορολογική απόδειξη από ΑΔΗΜΕ αυτόματου πωλητή.</w:t>
      </w:r>
    </w:p>
    <w:p>
      <w:pPr>
        <w:spacing w:before="240" w:after="240"/>
        <w:rPr>
          <w:lang w:val="el" w:eastAsia="el"/>
        </w:rPr>
      </w:pPr>
      <w:r>
        <w:rPr>
          <w:lang w:val="el" w:eastAsia="el"/>
        </w:rPr>
        <w:t xml:space="preserve">18.2.1. </w:t>
      </w:r>
      <w:r>
        <w:rPr>
          <w:b/>
          <w:bCs/>
          <w:lang w:val="el" w:eastAsia="el"/>
        </w:rPr>
        <w:t>Προσδιορισμός του συντελεστή ΦΠΑ, κατηγορίας ΦΠΑ και λόγος εξαίρεσης σε περίπτωση μηδενικού συντελεστή ΦΠΑ</w:t>
      </w:r>
    </w:p>
    <w:p>
      <w:pPr>
        <w:spacing w:before="240" w:after="240"/>
        <w:rPr>
          <w:lang w:val="el" w:eastAsia="el"/>
        </w:rPr>
      </w:pPr>
      <w:r>
        <w:rPr>
          <w:lang w:val="el" w:eastAsia="el"/>
        </w:rPr>
        <w:t xml:space="preserve">18.2.1.1. </w:t>
      </w:r>
      <w:r>
        <w:rPr>
          <w:b/>
          <w:bCs/>
          <w:lang w:val="el" w:eastAsia="el"/>
        </w:rPr>
        <w:t>Στην περίπτωση πρωτοκόλλου επικοινωνίας PARALLEL, PULSE ο συντελεστής ΦΠΑ, η κατηγορία ΦΠΑ και ο λόγος εξαίρεσης σε περίπτωση μηδενικού συντελεστή ΦΠΑ καθορίζονται στις ρυθμίσεις της ΑΔΗΜΕ αυτόματου πωλητή και είναι ίδιοι για όλα τα είδη του συγκεκριμένου αυτόματου πωλητή.</w:t>
      </w:r>
    </w:p>
    <w:p>
      <w:pPr>
        <w:spacing w:before="240" w:after="240"/>
        <w:rPr>
          <w:lang w:val="el" w:eastAsia="el"/>
        </w:rPr>
      </w:pPr>
      <w:r>
        <w:rPr>
          <w:lang w:val="el" w:eastAsia="el"/>
        </w:rPr>
        <w:t xml:space="preserve">18.2.1.2. </w:t>
      </w:r>
      <w:r>
        <w:rPr>
          <w:b/>
          <w:bCs/>
          <w:lang w:val="el" w:eastAsia="el"/>
        </w:rPr>
        <w:t>Στην περίπτωση πρωτοκόλλων επικοινωνίας EXECUTIVE ή MDB/IPC ή MARSHALL, εάν ο συντελεστής ΦΠΑ, η κατηγορία ΦΠΑ και ο λόγος εξαίρεσης σε περίπτωση μηδενικού συντελεστή ΦΠΑ είναι ίδιοι για όλα τα είδη του συγκεκριμένου αυτόματου πωλητή, τότε αυτά καθορίζονται στις ρυθμίσεις της ΑΔΗΜΕ αυτόματου πωλητή.</w:t>
      </w:r>
    </w:p>
    <w:p>
      <w:pPr>
        <w:spacing w:before="240" w:after="240"/>
        <w:rPr>
          <w:lang w:val="el" w:eastAsia="el"/>
        </w:rPr>
      </w:pPr>
      <w:r>
        <w:rPr>
          <w:lang w:val="el" w:eastAsia="el"/>
        </w:rPr>
        <w:t xml:space="preserve">18.2.1.3. </w:t>
      </w:r>
      <w:r>
        <w:rPr>
          <w:b/>
          <w:bCs/>
          <w:lang w:val="el" w:eastAsia="el"/>
        </w:rPr>
        <w:t>Στην περίπτωση πρωτοκόλλων επικοινωνίας EXECUTIVE ή MDB/IPC ή MARSHALL, εάν ο συντελεστής ΦΠΑ, η κατηγορία ΦΠΑ και ο λόγος εξαίρεσης σε περίπτωση μηδενικού συντελεστή ΦΠΑ ΔΕΝ είναι ίδιοι για όλα τα είδη του συγκεκριμένου αυτόματου πωλητή, τότε:</w:t>
      </w:r>
    </w:p>
    <w:p>
      <w:pPr>
        <w:spacing w:before="240" w:after="240"/>
        <w:rPr>
          <w:lang w:val="el" w:eastAsia="el"/>
        </w:rPr>
      </w:pPr>
      <w:r>
        <w:rPr>
          <w:lang w:val="el" w:eastAsia="el"/>
        </w:rPr>
        <w:t xml:space="preserve">• </w:t>
      </w:r>
      <w:r>
        <w:rPr>
          <w:b/>
          <w:bCs/>
          <w:lang w:val="el" w:eastAsia="el"/>
        </w:rPr>
        <w:t>Στις ΑΔΗΜΕ αυτόματου πωλητή προγραμματίζονται τουλάχιστον τόσα διαφορετικά τμήματα, όσοι διαφορετικοί συνδυασμοί χαρακτηρισμού πωλήσεων (εμπορεύματα, προϊόντα ή υπηρεσίες), συντελεστών ΦΠΑ και των λόγων απαλλαγής από μηδενικό ΦΠΑ.</w:t>
      </w:r>
    </w:p>
    <w:p>
      <w:pPr>
        <w:spacing w:before="240" w:after="240"/>
        <w:rPr>
          <w:lang w:val="el" w:eastAsia="el"/>
        </w:rPr>
      </w:pPr>
      <w:r>
        <w:rPr>
          <w:lang w:val="el" w:eastAsia="el"/>
        </w:rPr>
        <w:t xml:space="preserve">• </w:t>
      </w:r>
      <w:r>
        <w:rPr>
          <w:b/>
          <w:bCs/>
          <w:lang w:val="el" w:eastAsia="el"/>
        </w:rPr>
        <w:t>Ο κωδικός κάθε είδους που πωλείται από τον αυτόματο πωλητή αποτελείται από τουλάχιστον δύο μέρη, το πρώτο από τα οποία είναι ένας τριψήφιος αριθμός που υποδεικνύει τον αριθμό του αντίστοιχου τμήματος της ΑΔΗΜΕ αυτόματου πωλητή. Π.χ. κωδικός είδους 0030022 σημαίνει ότι το είδος ανήκει στο τμήμα 003 της ΑΔΗΜΕ αυτόματου πωλητή ,το οποίο τμήμα μπορεί να προγραμματιστεί ότι περιέχει εμπορεύματα με ΦΠΑ 13%.</w:t>
      </w:r>
    </w:p>
    <w:p>
      <w:pPr>
        <w:spacing w:before="240" w:after="240"/>
        <w:rPr>
          <w:lang w:val="el" w:eastAsia="el"/>
        </w:rPr>
      </w:pPr>
      <w:r>
        <w:rPr>
          <w:lang w:val="el" w:eastAsia="el"/>
        </w:rPr>
        <w:t xml:space="preserve">18.2.2. </w:t>
      </w:r>
      <w:r>
        <w:rPr>
          <w:b/>
          <w:bCs/>
          <w:lang w:val="el" w:eastAsia="el"/>
        </w:rPr>
        <w:t>Η ΑΔΗΜΕ αυτόματου πωλητή προετοιμάζει τη φορολογική απόδειξη όταν διαβάζει από τη μητρική πλακέτα του αυτόματου πωλητή το ποσό που πρέπει να καταβληθεί και συμπληρώνει τη φορολογική απόδειξη όταν διαβάζει από το EFTPOS ή από τον κερματοδέκτη ή από τον δέκτη χαρτονομισμάτων, το ποσό που καταβλήθηκε. Αυτά τα ποσά είναι διαθέσιμα στο δίαυλο (BUS).</w:t>
      </w:r>
    </w:p>
    <w:p>
      <w:pPr>
        <w:spacing w:before="240" w:after="240"/>
        <w:rPr>
          <w:lang w:val="el" w:eastAsia="el"/>
        </w:rPr>
      </w:pPr>
      <w:r>
        <w:rPr>
          <w:lang w:val="el" w:eastAsia="el"/>
        </w:rPr>
        <w:t xml:space="preserve">18.2.3. </w:t>
      </w:r>
      <w:r>
        <w:rPr>
          <w:b/>
          <w:bCs/>
          <w:lang w:val="el" w:eastAsia="el"/>
        </w:rPr>
        <w:t>Με κάθε απόδειξη, η ΑΔΗΜΕ αυτόματου πωλητή δημιουργεί ένα σύνολο αρχείων a.txt, b.txt, e.txt. Εάν πρόκειται για πληρωμή από EFTPOS, στο e.txt, η ΑΔΗΜΕ τοποθετεί το ποσό που πληρώθηκε με κάρτα στο πεδίο "πληρωμή με κάρτα", ενώ εάν πρόκειται για πληρωμή με μετρητά μέσω του κερματοδέκτη, τοποθετεί σε αυτό το πεδίο την τιμή μηδέν. Η δημιουργία e.txt με κωδικό 355 ή 356 ή 358 δεν είναι υποχρεωτική.</w:t>
      </w:r>
    </w:p>
    <w:p>
      <w:pPr>
        <w:spacing w:before="240" w:after="240"/>
        <w:rPr>
          <w:lang w:val="el" w:eastAsia="el"/>
        </w:rPr>
      </w:pPr>
      <w:r>
        <w:rPr>
          <w:lang w:val="el" w:eastAsia="el"/>
        </w:rPr>
        <w:t xml:space="preserve">18.2.4. </w:t>
      </w:r>
      <w:r>
        <w:rPr>
          <w:b/>
          <w:bCs/>
          <w:lang w:val="el" w:eastAsia="el"/>
        </w:rPr>
        <w:t>Η φορολογική απόδειξη εκδίδεται αυτόματα από την ΑΔΗΜΕ αυτόματου πωλητή για τον πελάτη, καταγράφεται ηλεκτρονικά και αποθηκεύεται στην εσωτερική μνήμη (όπως κάρτα μνήμης flash ή EEPROM) της ΑΔΗΜΕ αυτόματου πωλητή. Τα ημερήσια αθροίσματα της εσωτερικής μνήμης καταγράφονται στη φορολογική μνήμη της ΑΔΗΜΕ αυτόματου πωλητή.</w:t>
      </w:r>
    </w:p>
    <w:p>
      <w:pPr>
        <w:spacing w:before="240" w:after="240"/>
        <w:rPr>
          <w:lang w:val="el" w:eastAsia="el"/>
        </w:rPr>
      </w:pPr>
      <w:r>
        <w:rPr>
          <w:lang w:val="el" w:eastAsia="el"/>
        </w:rPr>
        <w:t xml:space="preserve">18.2.5. </w:t>
      </w:r>
      <w:r>
        <w:rPr>
          <w:b/>
          <w:bCs/>
          <w:lang w:val="el" w:eastAsia="el"/>
        </w:rPr>
        <w:t>Η απόδειξη αυτή περιέχει, μεταξύ των χαρακτηριστικών φράσεων "ΕΝΑΡΞΗ ΦΟΡΟΛΟΓΙΚΗΣ ΑΠΟΔΕΙΞΗΣ" και "ΛΗΞΗ ΦΟΡΟΛΟΓΙΚΗΣ ΑΠΟΔΕΙΞΗΣ", όλες τις πληροφορίες που αναφέρονται στην παράγραφο 2.26.1. του Κεφαλαίου 2 του ΠΟΛ 1220/2012, με την πρόβλεψη ότι η ένδειξη «ΠΩΛΗΣΗ» εμφανίζεται εναλλακτικά αντί της περιγραφής των πωλούμενων αγαθών ή υπηρεσιών.</w:t>
      </w:r>
    </w:p>
    <w:p>
      <w:pPr>
        <w:spacing w:before="240" w:after="240"/>
        <w:rPr>
          <w:lang w:val="el" w:eastAsia="el"/>
        </w:rPr>
      </w:pPr>
      <w:r>
        <w:rPr>
          <w:lang w:val="el" w:eastAsia="el"/>
        </w:rPr>
        <w:t xml:space="preserve">18.2.6. </w:t>
      </w:r>
      <w:r>
        <w:rPr>
          <w:b/>
          <w:bCs/>
          <w:lang w:val="el" w:eastAsia="el"/>
        </w:rPr>
        <w:t>Στην εκδοθείσα Φορολογική Απόδειξη της ΑΔΗΜΕ αυτόματου πωλητή, δεν επιτρέπονται Αλλαγές / Επιστροφές / Εκπτώσεις / Αυξήσεις σε ποσότητα ή ποσοστό, σε υποσύνολο ή στο τελικό Σύνολο, ούτε Ακυρώσεις ολοκληρωμένων χρηματικών συναλλαγών σε υπό έκδοση Φορολογική Απόδειξη, ούτε σε εκδοθείσες Φορολογικές Αποδείξεις, ούτε έκδοση πιστωτικών παραστατικών. Επίσης, δεν επιτρέπεται η ένδειξη μερικού συνόλου.</w:t>
      </w:r>
    </w:p>
    <w:p>
      <w:pPr>
        <w:spacing w:before="240" w:after="240"/>
        <w:rPr>
          <w:lang w:val="el" w:eastAsia="el"/>
        </w:rPr>
      </w:pPr>
      <w:r>
        <w:rPr>
          <w:lang w:val="el" w:eastAsia="el"/>
        </w:rPr>
        <w:t xml:space="preserve">18.2.7. </w:t>
      </w:r>
      <w:r>
        <w:rPr>
          <w:b/>
          <w:bCs/>
          <w:lang w:val="el" w:eastAsia="el"/>
        </w:rPr>
        <w:t>Όταν εκδίδεται φορολογική απόδειξη, τα στοιχεία της φορολογικής απόδειξης καταχωρούνται αυτόματα στην εσωτερική μνήμη (όπως κάρτα μνήμης flash ή EEPROM) της ΑΔΗΜΕ αυτόματου πωλητή, ώστε τα φορολογικά στοιχεία να αποστέλλονται - διαβιβάζονται ηλεκτρονικά στο Πληροφοριακό Σύστημα “Esend” της Ανεξάρτητης Αρχής Δημοσίων Εσόδων (ΑΑΔΕ).</w:t>
      </w:r>
    </w:p>
    <w:p>
      <w:pPr>
        <w:spacing w:before="240" w:after="240"/>
        <w:rPr>
          <w:lang w:val="el" w:eastAsia="el"/>
        </w:rPr>
      </w:pPr>
      <w:r>
        <w:rPr>
          <w:lang w:val="el" w:eastAsia="el"/>
        </w:rPr>
        <w:t xml:space="preserve">18.2.8. </w:t>
      </w:r>
      <w:r>
        <w:rPr>
          <w:b/>
          <w:bCs/>
          <w:lang w:val="el" w:eastAsia="el"/>
        </w:rPr>
        <w:t>Ως θύρα αποστολής/μετάδοσης των δεδομένων πωλήσεων στην ΑΑΔΕ, μπορεί να χρησιμοποιηθεί η θύρα ανάγνωσης φορολογικής μνήμης της ΑΔΗΜΕ αυτόματου πωλητή ή, όπου απαιτείται, μια ασύρματη διασύνδεση όπως η διασύνδεση GPRS.</w:t>
      </w:r>
    </w:p>
    <w:p>
      <w:pPr>
        <w:spacing w:before="240" w:after="240"/>
        <w:rPr>
          <w:lang w:val="el" w:eastAsia="el"/>
        </w:rPr>
      </w:pPr>
      <w:r>
        <w:rPr>
          <w:lang w:val="el" w:eastAsia="el"/>
        </w:rPr>
        <w:t xml:space="preserve">18.3 </w:t>
      </w:r>
      <w:r>
        <w:rPr>
          <w:b/>
          <w:bCs/>
          <w:lang w:val="el" w:eastAsia="el"/>
        </w:rPr>
        <w:t>Εκτύπωση των φορολογικών αποδείξεων</w:t>
      </w:r>
    </w:p>
    <w:p>
      <w:pPr>
        <w:spacing w:before="240" w:after="240"/>
        <w:rPr>
          <w:lang w:val="el" w:eastAsia="el"/>
        </w:rPr>
      </w:pPr>
      <w:r>
        <w:rPr>
          <w:b/>
          <w:bCs/>
          <w:lang w:val="el" w:eastAsia="el"/>
        </w:rPr>
        <w:t>Η ΑΔΗΜΕ αυτόματου πωλητή δεν διαθέτει εκτυπωτή νομίμων φορολογικών αποδείξεων. Οι φορολογικές αποδείξεις δεν εκτυπώνονται. Ωστόσο, η ΑΔΗΜΕ αυτόματου πωλητή επιτρέπεται προαιρετικά να διασυνδεθεί με οποιονδήποτε εξωτερικό εκτυπωτή τοποθετημένο στο εσωτερικό του αυτόματου πωλητή κατά τέτοιο τρόπο ώστε ο πελάτης να μπορεί εύκολα να λάβει την φορολογική απόδειξη.</w:t>
      </w:r>
    </w:p>
    <w:p>
      <w:pPr>
        <w:spacing w:before="240" w:after="240"/>
        <w:rPr>
          <w:lang w:val="el" w:eastAsia="el"/>
        </w:rPr>
      </w:pPr>
      <w:r>
        <w:rPr>
          <w:lang w:val="el" w:eastAsia="el"/>
        </w:rPr>
        <w:t xml:space="preserve">18.4. </w:t>
      </w:r>
      <w:r>
        <w:rPr>
          <w:b/>
          <w:bCs/>
          <w:lang w:val="el" w:eastAsia="el"/>
        </w:rPr>
        <w:t>Έκδοση της ημερήσιας αναφοράς πωλήσεων Z, δημιουργία και μεταφορά αρχείων</w:t>
      </w:r>
    </w:p>
    <w:p>
      <w:pPr>
        <w:spacing w:before="240" w:after="240"/>
        <w:rPr>
          <w:lang w:val="el" w:eastAsia="el"/>
        </w:rPr>
      </w:pPr>
      <w:r>
        <w:rPr>
          <w:lang w:val="el" w:eastAsia="el"/>
        </w:rPr>
        <w:t xml:space="preserve">18.4.1. </w:t>
      </w:r>
      <w:r>
        <w:rPr>
          <w:b/>
          <w:bCs/>
          <w:lang w:val="el" w:eastAsia="el"/>
        </w:rPr>
        <w:t>Για κάθε φορολογική απόδειξη δημιουργούνται τα αρχεία a.txt, b.txt, e.txt, όπως περιγράφεται στο άρθρο 5 του κεφαλαίου 2 του ΠΟΛ 1220/2012.</w:t>
      </w:r>
    </w:p>
    <w:p>
      <w:pPr>
        <w:spacing w:before="240" w:after="240"/>
        <w:rPr>
          <w:lang w:val="el" w:eastAsia="el"/>
        </w:rPr>
      </w:pPr>
      <w:r>
        <w:rPr>
          <w:lang w:val="el" w:eastAsia="el"/>
        </w:rPr>
        <w:t xml:space="preserve">18.4.2. </w:t>
      </w:r>
      <w:r>
        <w:rPr>
          <w:b/>
          <w:bCs/>
          <w:lang w:val="el" w:eastAsia="el"/>
        </w:rPr>
        <w:t>Για κάθε Ζ δημιουργούνται τα αρχεία c.txt, d.txt, s.txt όπως περιγράφεται στο Κεφάλαιο 2 της ΠΟΛ 1220/2012 και το αρχείο s.txt αποστέλλεται στο πληροφοριακό σύστημα ΦΗΜ «Esend» της ΑΑΔΕ, όπως ορίζεται στην παράγραφο 5.5.7. του Κεφαλαίου 2 της ΠΟΛ 1220/2012.</w:t>
      </w:r>
    </w:p>
    <w:p>
      <w:pPr>
        <w:spacing w:before="240" w:after="240"/>
        <w:rPr>
          <w:lang w:val="el" w:eastAsia="el"/>
        </w:rPr>
      </w:pPr>
      <w:r>
        <w:rPr>
          <w:lang w:val="el" w:eastAsia="el"/>
        </w:rPr>
        <w:t xml:space="preserve">18.4.3. </w:t>
      </w:r>
      <w:r>
        <w:rPr>
          <w:b/>
          <w:bCs/>
          <w:lang w:val="el" w:eastAsia="el"/>
        </w:rPr>
        <w:t>Το δελτίο ημερήσιας κίνησης «Ζ» εκδίδεται αυτόματα το αργότερο σε 24 ώρες μετά την πρώτη φορολογική απόδειξη που εκδόθηκε μετά το τελευταίο δελτίο ημερήσιας κίνησης «Z».</w:t>
      </w:r>
    </w:p>
    <w:p>
      <w:pPr>
        <w:spacing w:before="240" w:after="240"/>
        <w:rPr>
          <w:lang w:val="el" w:eastAsia="el"/>
        </w:rPr>
      </w:pPr>
      <w:r>
        <w:rPr>
          <w:lang w:val="el" w:eastAsia="el"/>
        </w:rPr>
        <w:t xml:space="preserve">18.5. </w:t>
      </w:r>
      <w:r>
        <w:rPr>
          <w:b/>
          <w:bCs/>
          <w:lang w:val="el" w:eastAsia="el"/>
        </w:rPr>
        <w:t>Λειτουργία αυτόματων πωλητών</w:t>
      </w:r>
    </w:p>
    <w:p>
      <w:pPr>
        <w:spacing w:before="240" w:after="240"/>
        <w:rPr>
          <w:lang w:val="el" w:eastAsia="el"/>
        </w:rPr>
      </w:pPr>
      <w:r>
        <w:rPr>
          <w:b/>
          <w:bCs/>
          <w:lang w:val="el" w:eastAsia="el"/>
        </w:rPr>
        <w:t>Κατά την συνεδρίαση της αρμόδιας Επιτροπής Ελέγχου Καταλληλότητας ΦΗΜ για την πρώτη έγκριση ενός η περισσοτέρων μοντέλων ΑΔΗΜΕ αυτομάτων πωλητών, η Επιτροπή ελέγχει ότι οι εγκρινόμενες ΑΔΗΜΕ αυτομάτων πωλητών καλύπτουν ατομικά ή αθροιστικά τα πρωτόκολλα επικοινωνίας PARALLEL, EXECUTIVE, MDB/IPC, PULSE, MARSHALL.</w:t>
      </w:r>
    </w:p>
    <w:p>
      <w:pPr>
        <w:spacing w:before="240" w:after="240"/>
        <w:rPr>
          <w:lang w:val="el" w:eastAsia="el"/>
        </w:rPr>
      </w:pPr>
      <w:r>
        <w:rPr>
          <w:b/>
          <w:bCs/>
          <w:lang w:val="el" w:eastAsia="el"/>
        </w:rPr>
        <w:t>Μετά το πέρας της προθεσμίας που προβλέπεται στην περ. ζ’ της παρ. 4 του άρθρου 1 της ΠΟΛ.1002/31.12.2014, όπως τροποποιήθηκε με την Α.1201/2024 και ισχύει, δεν επιτρέπεται η λειτουργία αυτομάτων πωλητών που δεν είναι διασυνδεδεμένοι με ΑΔΗΜΕ αυτομάτου πωλητή, εκτός της περίπτωσης αυτομάτων μηχανημάτων πώλησης υγρών καυσίμων, και με τη προϋπόθεση διασύνδεσης των αντλιών πώλησης υγρών καυσίμων με ΦΗΜ ή ΥΠΑΗΕΣ.»</w:t>
      </w:r>
    </w:p>
    <w:p>
      <w:pPr>
        <w:spacing w:before="240" w:after="240"/>
        <w:rPr>
          <w:lang w:val="el" w:eastAsia="el"/>
        </w:rPr>
      </w:pPr>
      <w:r>
        <w:rPr>
          <w:b/>
          <w:bCs/>
          <w:lang w:val="el" w:eastAsia="el"/>
        </w:rPr>
        <w:t>Η απόφαση αυτή ισχύει από τη δημοσίευση της στην Εφημερίδα της Κυβέρνησης. Η απόφαση αυτή να δημοσιευτεί στην Εφημερίδα της Κυβέρνησης.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 για δημοσίευση της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 (εκτός του αριθμού 2 αυτού)</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4.</w:t>
      </w:r>
      <w:r>
        <w:rPr>
          <w:lang w:val="el" w:eastAsia="el"/>
        </w:rPr>
        <w:t xml:space="preserve"> </w:t>
      </w:r>
      <w:r>
        <w:rPr>
          <w:b/>
          <w:bCs/>
          <w:lang w:val="el" w:eastAsia="el"/>
        </w:rPr>
        <w:t>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κου Υφυπουργού</w:t>
      </w:r>
    </w:p>
    <w:p>
      <w:pPr>
        <w:pStyle w:val="MainText"/>
        <w:spacing w:before="120" w:after="0"/>
        <w:rPr>
          <w:lang w:val="el" w:eastAsia="el"/>
        </w:rPr>
      </w:pPr>
      <w:r>
        <w:rPr>
          <w:b/>
          <w:bCs/>
          <w:lang w:val="el" w:eastAsia="el"/>
        </w:rPr>
        <w:t>3.</w:t>
      </w:r>
      <w:r>
        <w:rPr>
          <w:lang w:val="el" w:eastAsia="el"/>
        </w:rPr>
        <w:t xml:space="preserve"> </w:t>
      </w:r>
      <w:r>
        <w:rPr>
          <w:b/>
          <w:bCs/>
          <w:lang w:val="el" w:eastAsia="el"/>
        </w:rPr>
        <w:t>Προϊστάμενος της Γενικής Δ/νσης Σ.Δ.Ο.Ε.</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Δ/νσεις Κ.Υ. ΣΔΟΕ και ειδικές αποκεντρωμένες υπηρεσίες ΣΔΟΕ</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Η΄</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ΙΣΤ΄ (μόνο οι αριθμοί 3, 7, 34)</w:t>
      </w:r>
    </w:p>
    <w:p>
      <w:pPr>
        <w:pStyle w:val="MainText"/>
        <w:spacing w:before="120" w:after="0"/>
        <w:rPr>
          <w:lang w:val="el" w:eastAsia="el"/>
        </w:rPr>
      </w:pPr>
      <w:r>
        <w:rPr>
          <w:b/>
          <w:bCs/>
          <w:lang w:val="el" w:eastAsia="el"/>
        </w:rPr>
        <w:t>7.</w:t>
      </w:r>
      <w:r>
        <w:rPr>
          <w:lang w:val="el" w:eastAsia="el"/>
        </w:rPr>
        <w:t xml:space="preserve"> </w:t>
      </w:r>
      <w:r>
        <w:rPr>
          <w:b/>
          <w:bCs/>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8.</w:t>
      </w:r>
      <w:r>
        <w:rPr>
          <w:lang w:val="el" w:eastAsia="el"/>
        </w:rPr>
        <w:t xml:space="preserve"> </w:t>
      </w:r>
      <w:r>
        <w:rPr>
          <w:b/>
          <w:bCs/>
          <w:lang w:val="el" w:eastAsia="el"/>
        </w:rPr>
        <w:t>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pStyle w:val="MainText"/>
        <w:spacing w:before="120" w:after="0"/>
        <w:rPr>
          <w:lang w:val="el" w:eastAsia="el"/>
        </w:rPr>
      </w:pPr>
      <w:r>
        <w:rPr>
          <w:b/>
          <w:bCs/>
          <w:lang w:val="el" w:eastAsia="el"/>
        </w:rPr>
        <w:t>9.</w:t>
      </w:r>
      <w:r>
        <w:rPr>
          <w:lang w:val="el" w:eastAsia="el"/>
        </w:rPr>
        <w:t xml:space="preserve"> </w:t>
      </w:r>
      <w:r>
        <w:rPr>
          <w:b/>
          <w:bCs/>
          <w:lang w:val="el" w:eastAsia="el"/>
        </w:rPr>
        <w:t>Σύνδεσμος Εισαγωγέων και Κατασκευαστών Ταμειακών Συστημάτων (ΣΕΚΤ) -Λ. Αθηνών 165 ΤΚ 12461 Χαϊδάρι. Για την ενημέρωση των μελών του.</w:t>
      </w:r>
    </w:p>
    <w:p>
      <w:pPr>
        <w:pStyle w:val="MainText"/>
        <w:spacing w:before="120" w:after="0"/>
        <w:rPr>
          <w:lang w:val="el" w:eastAsia="el"/>
        </w:rPr>
      </w:pPr>
      <w:r>
        <w:rPr>
          <w:b/>
          <w:bCs/>
          <w:lang w:val="el" w:eastAsia="el"/>
        </w:rPr>
        <w:t>10.</w:t>
      </w:r>
      <w:r>
        <w:rPr>
          <w:lang w:val="el" w:eastAsia="el"/>
        </w:rPr>
        <w:t xml:space="preserve"> </w:t>
      </w:r>
      <w:r>
        <w:rPr>
          <w:b/>
          <w:bCs/>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pStyle w:val="MainText"/>
        <w:spacing w:before="120" w:after="0"/>
        <w:rPr>
          <w:lang w:val="el" w:eastAsia="el"/>
        </w:rPr>
      </w:pPr>
      <w:r>
        <w:rPr>
          <w:b/>
          <w:bCs/>
          <w:lang w:val="el" w:eastAsia="el"/>
        </w:rPr>
        <w:t>11.</w:t>
      </w:r>
      <w:r>
        <w:rPr>
          <w:lang w:val="el" w:eastAsia="el"/>
        </w:rPr>
        <w:t xml:space="preserve"> </w:t>
      </w:r>
      <w:r>
        <w:rPr>
          <w:b/>
          <w:bCs/>
          <w:lang w:val="el" w:eastAsia="el"/>
        </w:rPr>
        <w:t>Υπουργείο Οικονομίας και Ανάπτυξης. Γενική Γραμματεία Εμπορίου και Προστασίας Καταναλωτή.</w:t>
      </w:r>
    </w:p>
    <w:p>
      <w:pPr>
        <w:pStyle w:val="MainText"/>
        <w:spacing w:before="120" w:after="0"/>
        <w:rPr>
          <w:lang w:val="el" w:eastAsia="el"/>
        </w:rPr>
      </w:pPr>
      <w:r>
        <w:rPr>
          <w:b/>
          <w:bCs/>
          <w:lang w:val="el" w:eastAsia="el"/>
        </w:rPr>
        <w:t>12.</w:t>
      </w:r>
      <w:r>
        <w:rPr>
          <w:lang w:val="el" w:eastAsia="el"/>
        </w:rPr>
        <w:t xml:space="preserve">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Προϊσταμένους των Γενικών Διευθύνσεων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Διευθύνσεις της Γενικής Διεύθυνσης Φορολογικής Διοίκησης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Διαχείρισης Υποδομών- Τμήμα Ε΄</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Ελέγχων</w:t>
      </w:r>
    </w:p>
    <w:p>
      <w:pPr>
        <w:pStyle w:val="MainText"/>
        <w:spacing w:before="120" w:after="0"/>
        <w:rPr>
          <w:lang w:val="el" w:eastAsia="el"/>
        </w:rPr>
      </w:pPr>
      <w:r>
        <w:rPr>
          <w:b/>
          <w:bCs/>
          <w:lang w:val="el" w:eastAsia="el"/>
        </w:rPr>
        <w:t>7.</w:t>
      </w:r>
      <w:r>
        <w:rPr>
          <w:lang w:val="el" w:eastAsia="el"/>
        </w:rPr>
        <w:t xml:space="preserve">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ΒΑΣΙΛΕΙΟΥ ΕΥΘΥΜΙΑ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