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01/08/2025</w:t>
      </w:r>
    </w:p>
    <w:p>
      <w:pPr>
        <w:pStyle w:val="Title"/>
        <w:spacing w:before="120" w:after="360"/>
        <w:rPr>
          <w:lang w:val="el" w:eastAsia="el"/>
        </w:rPr>
      </w:pPr>
      <w:r>
        <w:rPr>
          <w:lang w:val="el" w:eastAsia="el"/>
        </w:rPr>
        <w:t>Αριθμός Απόφασης: 1109</w:t>
      </w:r>
    </w:p>
    <w:p>
      <w:pPr>
        <w:pStyle w:val="PreambelText"/>
        <w:spacing w:before="240" w:after="240"/>
        <w:rPr>
          <w:lang w:val="el" w:eastAsia="el"/>
        </w:rPr>
      </w:pPr>
      <w:r>
        <w:rPr>
          <w:b/>
          <w:bCs/>
          <w:sz w:val="30"/>
          <w:szCs w:val="30"/>
          <w:vertAlign w:val="subscript"/>
          <w:lang w:val="el" w:eastAsia="el"/>
        </w:rPr>
        <w:t>■</w:t>
      </w:r>
    </w:p>
    <w:p>
      <w:pPr>
        <w:pStyle w:val="PreambelText"/>
        <w:spacing w:before="240" w:after="240"/>
        <w:rPr>
          <w:lang w:val="el" w:eastAsia="el"/>
        </w:rPr>
      </w:pPr>
      <w:r>
        <w:rPr>
          <w:b/>
          <w:bCs/>
          <w:lang w:val="el" w:eastAsia="el"/>
        </w:rPr>
        <w:t>ΛΑΔΕ ΦΕΚ Β΄4325/7-8-2025</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Αθήνα, 31 Ιουλίου 2025</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 xml:space="preserve">Α. ΔΙΕΥΘΥΝΣΗ ΕΦΑΡΜΟΓΗΣ ΕΜΜΕΣΗΣ ΦΟΡΟΛΟΓΙΑΣ </w:t>
      </w:r>
      <w:r>
        <w:rPr>
          <w:b/>
          <w:bCs/>
          <w:sz w:val="30"/>
          <w:szCs w:val="30"/>
          <w:vertAlign w:val="superscript"/>
          <w:lang w:val="el" w:eastAsia="el"/>
        </w:rPr>
        <w:t>Α.1109</w:t>
      </w:r>
    </w:p>
    <w:p>
      <w:pPr>
        <w:pStyle w:val="Heading1"/>
        <w:spacing w:before="240" w:after="240"/>
        <w:rPr>
          <w:lang w:val="el" w:eastAsia="el"/>
        </w:rPr>
      </w:pPr>
      <w:r>
        <w:rPr>
          <w:rStyle w:val="hierarchy-num"/>
          <w:b/>
          <w:bCs/>
          <w:lang w:val="el" w:eastAsia="el"/>
        </w:rPr>
        <w:t>ΤΜΗΜΑ Β΄</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6"/>
        <w:gridCol w:w="42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Ταχ. Δ/νση</w:t>
            </w:r>
          </w:p>
          <w:p>
            <w:pPr>
              <w:spacing w:before="240"/>
              <w:rPr>
                <w:b w:val="0"/>
                <w:bCs w:val="0"/>
                <w:i w:val="0"/>
                <w:iCs w:val="0"/>
                <w:smallCaps w:val="0"/>
                <w:color w:val="000000"/>
                <w:lang w:val="el" w:eastAsia="el"/>
              </w:rPr>
            </w:pPr>
            <w:r>
              <w:rPr>
                <w:b/>
                <w:bCs/>
                <w:i w:val="0"/>
                <w:iCs w:val="0"/>
                <w:smallCaps w:val="0"/>
                <w:color w:val="000000"/>
                <w:lang w:val="el" w:eastAsia="el"/>
              </w:rPr>
              <w:t>Ταχ. Κώδικας 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ΠΡΟΣ: Ως Πίνακας Διανομής</w:t>
            </w:r>
          </w:p>
          <w:p>
            <w:pPr>
              <w:spacing w:before="240" w:after="240"/>
              <w:rPr>
                <w:b w:val="0"/>
                <w:bCs w:val="0"/>
                <w:i w:val="0"/>
                <w:iCs w:val="0"/>
                <w:smallCaps w:val="0"/>
                <w:color w:val="000000"/>
                <w:lang w:val="el" w:eastAsia="el"/>
              </w:rPr>
            </w:pPr>
            <w:r>
              <w:rPr>
                <w:b/>
                <w:bCs/>
                <w:i w:val="0"/>
                <w:iCs w:val="0"/>
                <w:smallCaps w:val="0"/>
                <w:color w:val="000000"/>
                <w:lang w:val="el" w:eastAsia="el"/>
              </w:rPr>
              <w:t>Πειραιώς 180</w:t>
            </w:r>
          </w:p>
          <w:p>
            <w:pPr>
              <w:spacing w:before="240" w:after="240"/>
              <w:rPr>
                <w:b w:val="0"/>
                <w:bCs w:val="0"/>
                <w:i w:val="0"/>
                <w:iCs w:val="0"/>
                <w:smallCaps w:val="0"/>
                <w:color w:val="000000"/>
                <w:lang w:val="el" w:eastAsia="el"/>
              </w:rPr>
            </w:pPr>
            <w:r>
              <w:rPr>
                <w:b/>
                <w:bCs/>
                <w:i w:val="0"/>
                <w:iCs w:val="0"/>
                <w:smallCaps w:val="0"/>
                <w:color w:val="000000"/>
                <w:lang w:val="el" w:eastAsia="el"/>
              </w:rPr>
              <w:t>177 78 Ταύρος</w:t>
            </w:r>
          </w:p>
          <w:p>
            <w:pPr>
              <w:spacing w:before="240" w:after="240"/>
              <w:rPr>
                <w:b w:val="0"/>
                <w:bCs w:val="0"/>
                <w:i w:val="0"/>
                <w:iCs w:val="0"/>
                <w:smallCaps w:val="0"/>
                <w:color w:val="000000"/>
                <w:lang w:val="el" w:eastAsia="el"/>
              </w:rPr>
            </w:pPr>
            <w:r>
              <w:rPr>
                <w:b/>
                <w:bCs/>
                <w:i w:val="0"/>
                <w:iCs w:val="0"/>
                <w:smallCaps w:val="0"/>
                <w:color w:val="000000"/>
                <w:lang w:val="el" w:eastAsia="el"/>
              </w:rPr>
              <w:t>2131410673,0134,0130,0138</w:t>
            </w:r>
          </w:p>
          <w:p>
            <w:pPr>
              <w:spacing w:before="240"/>
              <w:rPr>
                <w:b w:val="0"/>
                <w:bCs w:val="0"/>
                <w:i w:val="0"/>
                <w:iCs w:val="0"/>
                <w:smallCaps w:val="0"/>
                <w:color w:val="000000"/>
                <w:lang w:val="el" w:eastAsia="el"/>
              </w:rPr>
            </w:pPr>
            <w:hyperlink r:id="rId4" w:history="1">
              <w:r>
                <w:rPr>
                  <w:rStyle w:val="Hyperlink"/>
                  <w:b/>
                  <w:bCs/>
                  <w:i w:val="0"/>
                  <w:iCs w:val="0"/>
                  <w:smallCaps w:val="0"/>
                  <w:color w:val="0000EE"/>
                  <w:u w:color="0000EE"/>
                  <w:lang w:val="el" w:eastAsia="el"/>
                </w:rPr>
                <w:t>deef@aade.gr</w:t>
              </w:r>
            </w:hyperlink>
          </w:p>
        </w:tc>
      </w:tr>
    </w:tbl>
    <w:p>
      <w:pPr>
        <w:spacing w:before="240" w:after="240"/>
        <w:rPr>
          <w:lang w:val="el" w:eastAsia="el"/>
        </w:rPr>
      </w:pPr>
      <w:r>
        <w:rPr>
          <w:b/>
          <w:bCs/>
          <w:lang w:val="el" w:eastAsia="el"/>
        </w:rPr>
        <w:t>Β. ΔΙΕΥΘΥΝΣΗ ΕΛΕΓΚΤΙΚΩΝ ΔΙΑΔΙΚΑΣΙΩΝ</w:t>
      </w:r>
    </w:p>
    <w:p>
      <w:pPr>
        <w:spacing w:before="240" w:after="240"/>
        <w:rPr>
          <w:lang w:val="el" w:eastAsia="el"/>
        </w:rPr>
      </w:pPr>
      <w:r>
        <w:rPr>
          <w:b/>
          <w:bCs/>
          <w:lang w:val="el" w:eastAsia="el"/>
        </w:rPr>
        <w:t>ΤΜΗΜΑΤΑ Β, Γ΄</w:t>
      </w:r>
    </w:p>
    <w:p>
      <w:pPr>
        <w:spacing w:before="240" w:after="240"/>
        <w:rPr>
          <w:lang w:val="el" w:eastAsia="el"/>
        </w:rPr>
      </w:pPr>
      <w:r>
        <w:rPr>
          <w:b/>
          <w:bCs/>
          <w:lang w:val="el" w:eastAsia="el"/>
        </w:rPr>
        <w:t>Τηλ.2131410806,0828,0807,0830</w:t>
      </w:r>
    </w:p>
    <w:p>
      <w:pPr>
        <w:spacing w:before="240" w:after="240"/>
        <w:rPr>
          <w:lang w:val="el" w:eastAsia="el"/>
        </w:rPr>
      </w:pPr>
      <w:r>
        <w:rPr>
          <w:b/>
          <w:bCs/>
          <w:lang w:val="el" w:eastAsia="el"/>
        </w:rPr>
        <w:t>Γ. ΔΙΕΥΘΥΝΣΗ ΔΙΑΔΙΚΑΣΙΩΝ ΕΙΣΠΡΑΞΕΩΝ ΚΑΙ ΕΠΙΣΤΡΟΦΩΝ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Τηλ. 2131410149, 2131410126</w:t>
      </w:r>
    </w:p>
    <w:p>
      <w:pPr>
        <w:spacing w:before="240" w:after="240"/>
        <w:rPr>
          <w:lang w:val="el" w:eastAsia="el"/>
        </w:rPr>
      </w:pPr>
      <w:r>
        <w:rPr>
          <w:b/>
          <w:bCs/>
          <w:lang w:val="el" w:eastAsia="el"/>
        </w:rPr>
        <w:t>ΘΕΜΑ: «Τροποποίηση της υπό στοιχεία Α.1066/2025 (Β΄2271) απόφασης Διοικητή ΑΑΔΕ με θέμα «Καθορισμός των αρμόδιων οργάνων της ΑΑΔΕ, της διαδικασίας ελέγχου ή διασταύρωσης για την επιβολή των κυρώσεων της παρ. 4 του άρθρου 62 του ν. 5177/2025 (Α’ 21) και της διαδικασίας είσπραξης και απόδοσης του διοικητικού προστίμου»»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ν. 5177/2025 «Κύρωση Κώδικα εμμέσων φόρων επί των συναλλαγών του πεδίου εφαρμογής του Κώδικα Φορολογικής Διαδικασίας, καθώς και λοιπών εμμέσων φόρων» (Α’ 21), και ιδίως των παρ. 3, 4, 5 και του τρίτου εδαφίου της παρ. 6 του άρθρου 62 και της παρ. 4 του άρθρου 63,</w:t>
      </w:r>
    </w:p>
    <w:p>
      <w:pPr>
        <w:pStyle w:val="StructureList1"/>
        <w:spacing w:before="120" w:after="0"/>
        <w:rPr>
          <w:lang w:val="el" w:eastAsia="el"/>
        </w:rPr>
      </w:pPr>
      <w:r>
        <w:rPr>
          <w:lang w:val="el" w:eastAsia="el"/>
        </w:rPr>
        <w:t>β)</w:t>
      </w:r>
      <w:r>
        <w:rPr>
          <w:lang w:val="en" w:eastAsia="en"/>
        </w:rPr>
        <w:tab/>
      </w:r>
      <w:r>
        <w:rPr>
          <w:b/>
          <w:bCs/>
          <w:lang w:val="el" w:eastAsia="el"/>
        </w:rPr>
        <w:t>του αρ. 29 του ν.2367/1953 «Περί τίτλων κυριότητος, ταξινομήσεως, αδειών κυκλοφορίας και φορολογίας αυτοκινήτων»(Α΄82),</w:t>
      </w:r>
    </w:p>
    <w:p>
      <w:pPr>
        <w:pStyle w:val="StructureList1"/>
        <w:spacing w:before="120" w:after="0"/>
        <w:rPr>
          <w:lang w:val="el" w:eastAsia="el"/>
        </w:rPr>
      </w:pPr>
      <w:r>
        <w:rPr>
          <w:lang w:val="el" w:eastAsia="el"/>
        </w:rPr>
        <w:t>γ)</w:t>
      </w:r>
      <w:r>
        <w:rPr>
          <w:lang w:val="en" w:eastAsia="en"/>
        </w:rPr>
        <w:tab/>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του άρθρου 7, της παρ. 1 του άρθρου 14, και του άρθρου 41 αυτού,</w:t>
      </w:r>
    </w:p>
    <w:p>
      <w:pPr>
        <w:pStyle w:val="StructureList1"/>
        <w:spacing w:before="120" w:after="0"/>
        <w:rPr>
          <w:lang w:val="el" w:eastAsia="el"/>
        </w:rPr>
      </w:pPr>
      <w:r>
        <w:rPr>
          <w:lang w:val="el" w:eastAsia="el"/>
        </w:rPr>
        <w:t>δ)</w:t>
      </w:r>
      <w:r>
        <w:rPr>
          <w:lang w:val="en" w:eastAsia="en"/>
        </w:rPr>
        <w:tab/>
      </w:r>
      <w:r>
        <w:rPr>
          <w:b/>
          <w:bCs/>
          <w:lang w:val="el" w:eastAsia="el"/>
        </w:rPr>
        <w:t>του άρθρου 36 του ν. 2093/1992 «Διαρρυθμίσεις στην έμμεση φορολογία και άλλες διατάξεις» (Α’ 181),</w:t>
      </w:r>
    </w:p>
    <w:p>
      <w:pPr>
        <w:pStyle w:val="StructureList1"/>
        <w:spacing w:before="120" w:after="0"/>
        <w:rPr>
          <w:lang w:val="el" w:eastAsia="el"/>
        </w:rPr>
      </w:pPr>
      <w:r>
        <w:rPr>
          <w:lang w:val="el" w:eastAsia="el"/>
        </w:rPr>
        <w:t>ε)</w:t>
      </w:r>
      <w:r>
        <w:rPr>
          <w:lang w:val="en" w:eastAsia="en"/>
        </w:rPr>
        <w:tab/>
      </w:r>
      <w:r>
        <w:rPr>
          <w:b/>
          <w:bCs/>
          <w:lang w:val="el" w:eastAsia="el"/>
        </w:rPr>
        <w:t>του ν. 5104/2024 (Α΄58) «Κώδικας Φορολογικής Διαδικασίας και άλλες διατάξεις» εφεξής ΚΦΔ , και ιδίως τα άρθρα 4, 5, την παρ. 4 του άρθρου 15 και την παρ. 12 του άρθρου 83 αυτού. στ) του ν.4978/2022 «Κώδικας Είσπραξης Δημοσίων Εσόδων» (Α΄190),</w:t>
      </w:r>
    </w:p>
    <w:p>
      <w:pPr>
        <w:pStyle w:val="StructureList1"/>
        <w:spacing w:before="120" w:after="0"/>
        <w:rPr>
          <w:lang w:val="el" w:eastAsia="el"/>
        </w:rPr>
      </w:pPr>
      <w:r>
        <w:rPr>
          <w:lang w:val="el" w:eastAsia="el"/>
        </w:rPr>
        <w:t>ζ)</w:t>
      </w:r>
      <w:r>
        <w:rPr>
          <w:lang w:val="en" w:eastAsia="en"/>
        </w:rPr>
        <w:tab/>
      </w:r>
      <w:r>
        <w:rPr>
          <w:b/>
          <w:bCs/>
          <w:lang w:val="el" w:eastAsia="el"/>
        </w:rPr>
        <w:t>της παρ. 6 του άρθρου 45 του ν. 2992/2002 «Μέτρα για την ενίσχυση της κεφαλαιαγοράς και την ανάπτυξη της επιχειρηματικότητας και άλλες διατάξεις» (Α΄54),</w:t>
      </w:r>
    </w:p>
    <w:p>
      <w:pPr>
        <w:pStyle w:val="StructureList1"/>
        <w:spacing w:before="120" w:after="0"/>
        <w:rPr>
          <w:lang w:val="el" w:eastAsia="el"/>
        </w:rPr>
      </w:pPr>
      <w:r>
        <w:rPr>
          <w:lang w:val="el" w:eastAsia="el"/>
        </w:rPr>
        <w:t>η)</w:t>
      </w:r>
      <w:r>
        <w:rPr>
          <w:lang w:val="en" w:eastAsia="en"/>
        </w:rPr>
        <w:tab/>
      </w:r>
      <w:r>
        <w:rPr>
          <w:b/>
          <w:bCs/>
          <w:lang w:val="el" w:eastAsia="el"/>
        </w:rPr>
        <w:t>του ν.2690/1999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θ)</w:t>
      </w:r>
      <w:r>
        <w:rPr>
          <w:lang w:val="en" w:eastAsia="en"/>
        </w:rPr>
        <w:tab/>
      </w:r>
      <w:r>
        <w:rPr>
          <w:b/>
          <w:bCs/>
          <w:lang w:val="el" w:eastAsia="el"/>
        </w:rPr>
        <w:t>της υπό στοιχεία Δ.ΟΡΓ. Α 1125859 ΕΞ2020/23.10.2020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Την κοινή απόφαση του Υπουργού Επικρατείας, του Υφυπουργού Οικονομικών και Διοικητή ΑΑΔΕ Α. 1254/2021 «Ρύθμιση ειδικότερων θεμάτων για την παροχή δημοσίων πληροφοριών (open data)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απολεσθέντων ή κλαπέντων, μέσω της Ενιαίας Ψηφιακής Πύλης της Δημόσιας Διοίκησης (gov.gr -ΕΨΠ) και κάθε άλλη αναγκαία λεπτομέρεια. Διαδικασία και λεπτομέρειες χορήγησης των στοιχείων μητρώου οχημάτων από την ΑΑΔΕ, προς δημοσίευση (Β΄6053).</w:t>
      </w:r>
    </w:p>
    <w:p>
      <w:pPr>
        <w:spacing w:before="240" w:after="240"/>
        <w:rPr>
          <w:lang w:val="el" w:eastAsia="el"/>
        </w:rPr>
      </w:pPr>
      <w:r>
        <w:rPr>
          <w:lang w:val="el" w:eastAsia="el"/>
        </w:rPr>
        <w:t xml:space="preserve">3. </w:t>
      </w:r>
      <w:r>
        <w:rPr>
          <w:b/>
          <w:bCs/>
          <w:lang w:val="el" w:eastAsia="el"/>
        </w:rPr>
        <w:t>Την υπ’ αρ. 1/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την υπ’ αρ. 5294/ΕΞ 2020/17.1.2020 (Υ.Ο.Δ.Δ. 27) απόφαση του Υπουργού Οικονομικών καθώς και την υπ’ αρ. 7608/17.1.2025 (Υ.Ο.Δ.Δ. 11) απόφαση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lang w:val="el" w:eastAsia="el"/>
        </w:rPr>
        <w:t xml:space="preserve">4. </w:t>
      </w:r>
      <w:r>
        <w:rPr>
          <w:b/>
          <w:bCs/>
          <w:lang w:val="el" w:eastAsia="el"/>
        </w:rPr>
        <w:t>Την ανάγκη καθορισμού της διαδικασίας επιβολής του διοικητικού προστίμου της παρ. 4 του άρθρου 62 του ν. 5177/2025 (Α΄21) στην περίπτωση που η παράβαση διαπιστώνεται από αρμόδια όργανα ελέγχου εκτός των Υπηρεσιών της ΑΑΔΕ.</w:t>
      </w:r>
    </w:p>
    <w:p>
      <w:pPr>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ΑΑΔΕ.</w:t>
      </w:r>
    </w:p>
    <w:p>
      <w:pPr>
        <w:spacing w:before="240" w:after="240"/>
        <w:rPr>
          <w:lang w:val="el" w:eastAsia="el"/>
        </w:rPr>
      </w:pPr>
      <w:r>
        <w:rPr>
          <w:lang w:val="el" w:eastAsia="el"/>
        </w:rPr>
        <w:t xml:space="preserve">6. </w:t>
      </w:r>
      <w:r>
        <w:rPr>
          <w:b/>
          <w:bCs/>
          <w:lang w:val="el" w:eastAsia="el"/>
        </w:rPr>
        <w:t>Το γεγονός ότι οι διατάξεις της παρούσας δεν αφορούν σε διοικητική διαδικασία για την οποία υπάρχει υποχρέωση καταχώρισης στο ΕΜΔΔ -ΜΙΤΟΣ.</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τέλος της παρ. 1 του άρθρου 4 προστίθεται παράγραφος 1 Α, ως εξής:</w:t>
      </w:r>
    </w:p>
    <w:p>
      <w:pPr>
        <w:pStyle w:val="MainText"/>
        <w:spacing w:before="120" w:after="0"/>
        <w:rPr>
          <w:lang w:val="el" w:eastAsia="el"/>
        </w:rPr>
      </w:pPr>
      <w:r>
        <w:rPr>
          <w:b/>
          <w:bCs/>
          <w:lang w:val="el" w:eastAsia="el"/>
        </w:rPr>
        <w:t>1Α.</w:t>
      </w:r>
      <w:r>
        <w:rPr>
          <w:lang w:val="el" w:eastAsia="el"/>
        </w:rPr>
        <w:t xml:space="preserve"> </w:t>
      </w:r>
      <w:r>
        <w:rPr>
          <w:b/>
          <w:bCs/>
          <w:lang w:val="el" w:eastAsia="el"/>
        </w:rPr>
        <w:t>Εάν περιέλθουν στην ΑΑΔΕ δημόσια έγγραφα από Υπηρεσίες εκτός ΑΑΔΕ βάσει των οποίων έχει διαπιστωθεί στο πλαίσιο ελέγχων αρμοδιότητάς τους όχημα που έχει τεθεί σε ακινησία είτε να κυκλοφορεί, είτε να φέρει πινακίδες αριθμού κυκλοφορίας, είτε να είναι σταθμευμένο σε διαφορετικό σημείο από αυτό το οποίο έχει δηλωθεί στη δήλωση ακινησίας, τότε υπάλληλοι του Τμήματος Συμμόρφωσης και Σχέσεων με τους Φορολογούμενους της Δ.Ο.Υ ή υπάλληλοι της Υποδιεύθυνσης Β΄- Έμμεσης Φορολογίας του Κέντρου Φορολογικών Διαδικασιών και Εξυπηρέτησης (ΚΕ.ΦΟ.Δ.Ε.), που είναι αρμόδιο/α για την παραλαβή της δήλωσης φορολογίας εισοδήματος του ιδιοκτήτη /κατόχου που δήλωσε το όχημα σε ακινησία, συντάσσουν και υπογράφουν κλήση προς ακρόαση του άρθρου 6 του ν. 2690/1999 στην οποία αναγράφονται οι ως άνω διαπιστώσεις με τις οποίες στοιχειοθετείται η παράβαση. Στην κλήση προς ακρόαση αναφέρονται τα στοιχεία των διαπιστώσεων με τα οποία στοιχειοθετείται η παράβαση, ο αριθμός κυκλοφορίας του οχήματος ή ο αριθμός πλαισίου αυτού, ο ακριβής τόπος (οδός, αριθμός, πόλη) και ο χρόνος παράβασης, με επισυναπτόμενη τη φωτογραφία της πινακίδας του αριθμού κυκλοφορίας, εφόσον υπάρχει και εάν η παράβαση αφορά σε όχημα που κυκλοφορεί τα στοιχεία του οδηγού (ονοματεπώνυμο και αριθμό δελτίου ταυτότητας ή διαβατηρίου). Η κλήση προς ακρόαση κοινοποιείται σύμφωνα με το άρθρο 5 του ΚΦΔ και την υπό στοιχεία Α.1068/2024 Απόφαση Διοικητή ΑΑΔΕ (Β ΄2534) στον ιδιοκτήτη ή κάτοχο που δήλωσε το όχημα σε ακινησία. Οι απόψεις του ιδιοκτήτη ή κατόχου ο οποίος δήλωσε το όχημα σε ακινησία υποβάλλονται στον Προϊστάμενο της ως άνω Υπηρεσίας αυτοπροσώπως ή ταχυδρομικά, ή μέσω της πλατφόρμας myCAR ή μέσω μηνύματος ηλεκτρονικής αλληλογραφίας, εντός προθεσμίας δέκα (10) ημερών από την κοινοποίηση της κλήσης. Σε περίπτωση αποδοχής των απόψεων του ιδιοκτήτη ή κατόχου που δήλωσε το όχημα σε ακινησία και μη επιβολής των διοικητικών κυρώσεων, κοινοποιείται σύμφωνα με το άρθρο 5 του ΚΦΔ σε συνδυασμό με την Α. 1068/2024 έγγραφη ενημέρωση περί αποδοχής των απόψεών του.</w:t>
      </w:r>
    </w:p>
    <w:p>
      <w:pPr>
        <w:spacing w:before="240" w:after="240"/>
        <w:rPr>
          <w:lang w:val="el" w:eastAsia="el"/>
        </w:rPr>
      </w:pPr>
      <w:r>
        <w:rPr>
          <w:b/>
          <w:bCs/>
          <w:lang w:val="el" w:eastAsia="el"/>
        </w:rPr>
        <w:t>Σε περίπτωση απόρριψης των απόψεων του ιδιοκτήτη ή κατόχου ή κατόπιν παρέλευσης άπρακτης της ως άνω προθεσμίας, εκδίδεται από τον Προϊστάμενο της ως άνω Υπηρεσίας πράξη επιβολής προστίμου της παρ. 4 του άρθρου 62 του ν.5177/2025 με πλήρη αιτιολογία επί του σώματος αυτής. Η πράξη επιβολής του διοικητικού προστίμου της παρ. 4 του άρθρου 62 του ν. 5177/2025 κοινοποιείται, σύμφωνα με τις διατάξεις του άρθρου 5 του ΚΦΔ σε συνδυασμό με την υπό στοιχεία Α.1068/2024 στον ιδιοκτήτη ή κάτοχο του οχήματος που δήλωσε το όχημα σε ακινησία.</w:t>
      </w:r>
    </w:p>
    <w:p>
      <w:pPr>
        <w:spacing w:before="240" w:after="240"/>
        <w:rPr>
          <w:lang w:val="el" w:eastAsia="el"/>
        </w:rPr>
      </w:pPr>
      <w:r>
        <w:rPr>
          <w:b/>
          <w:bCs/>
          <w:lang w:val="el" w:eastAsia="el"/>
        </w:rPr>
        <w:t>Κατά τα λοιπά εφαρμόζονται αναλόγως τα οριζόμενα στο παρόν άρθρο.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-Μεταβατικές διατάξειςΠροστίθενται μεταβατικές διατάξεις ως άρθρο 6 Α, ως εξής:</w:t>
      </w:r>
    </w:p>
    <w:p>
      <w:pPr>
        <w:spacing w:before="240" w:after="240"/>
        <w:rPr>
          <w:lang w:val="el" w:eastAsia="el"/>
        </w:rPr>
      </w:pPr>
      <w:r>
        <w:rPr>
          <w:b/>
          <w:bCs/>
          <w:lang w:val="el" w:eastAsia="el"/>
        </w:rPr>
        <w:t>Η παρούσα καταλαμβάνει περιπτώσεις διαπιστώσεων παραβάσεων του αρ. 62 του ν.5177/2025 ή του άρθρου 22 του ν.2367/1953 από την έναρξη ισχύος του ν.4758/2020 ήτοι από 4/12/2020 και μετά για τις οποίες εκκρεμεί η επιβολή του διοικητικού προστίμου.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παρούσα ισχύει από την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ΠΕΡΙΛΗΨΗ ΑΠΟΦΑΣΗΣ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Τροποποίηση της υπό στοιχεία Α.1066/2025 (Β΄2271) απόφασης Διοικητή ΑΑΔΕ με θέμα «Καθορισμός των αρμόδιων οργάνων της ΑΑΔΕ, της διαδικασίας ελέγχου ή διασταύρωσης για την επιβολή των κυρώσεων της παρ. 4 του άρθρου 62 του ν. 5177/2025 (Α’ 21) και της διαδικασίας είσπραξης και απόδοσης του διοικητικού προστίμου»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παρούσα απόφαση τροποποιεί την Α.1066/2025, ως προς τη διαδικασία επιβολής των κυρώσεων της παρ. 4 του άρθρου 62 του ν.5177/2025 σε περίπτωση που περιέλθουν στην ΑΑΔΕ δημόσια έγγραφα από Υπηρεσίες εκτός ΑΑΔΕ βάσει των οποίων έχει διαπιστωθεί στο πλαίσιο ελέγχων αρμοδιότητάς τους όχημα που έχει τεθεί σε ακινησία είτε να κυκλοφορεί, είτε να φέρει πινακίδες αριθμού κυκλοφορίας, είτε να είναι σταθμευμένο σε διαφορετικό σημείο από αυτό το οποίο έχει δηλωθεί στη δήλωση ακινησίας.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τα φυσικά και νομικά πρόσωπα/οντότητες στα οποία επιβάλλονται οι κυρώσεις της παρ.4 του άρθρου 62 του ν.5177/2025, καθώς και τις υπηρεσίες της φορολογικής αρχής.</w:t>
      </w:r>
    </w:p>
    <w:p>
      <w:pPr>
        <w:spacing w:before="240" w:after="240"/>
        <w:rPr>
          <w:lang w:val="el" w:eastAsia="el"/>
        </w:rPr>
      </w:pPr>
      <w:r>
        <w:rPr>
          <w:b/>
          <w:bCs/>
          <w:u w:val="single"/>
          <w:lang w:val="el" w:eastAsia="el"/>
        </w:rPr>
        <w:t>ΠΙΝΑΚΑΣ ΔΙΑΝΟΜΗΣ</w:t>
      </w:r>
      <w:r>
        <w:rPr>
          <w:b/>
          <w:bCs/>
          <w:u w:val="single"/>
          <w:lang w:val="el" w:eastAsia="el"/>
        </w:rPr>
        <w:t>:</w:t>
      </w:r>
    </w:p>
    <w:p>
      <w:pPr>
        <w:spacing w:before="240" w:after="240"/>
        <w:rPr>
          <w:lang w:val="el" w:eastAsia="el"/>
        </w:rPr>
      </w:pPr>
      <w:r>
        <w:rPr>
          <w:lang w:val="el" w:eastAsia="el"/>
        </w:rPr>
        <w:t xml:space="preserve">I. </w:t>
      </w:r>
      <w:r>
        <w:rPr>
          <w:b/>
          <w:bCs/>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lang w:val="el" w:eastAsia="el"/>
        </w:rPr>
        <w:t xml:space="preserve">5. </w:t>
      </w:r>
      <w:r>
        <w:rPr>
          <w:b/>
          <w:bCs/>
          <w:lang w:val="el" w:eastAsia="el"/>
        </w:rPr>
        <w:t>Εθνικό Τυπογραφείο για δημοσίευση σε ΦΕΚ</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μόνο οι αριθμ. 1 και 4</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 μόνο οι αριθμ. 1, 2, 3 και 7</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Ζ΄</w:t>
      </w:r>
    </w:p>
    <w:p>
      <w:pPr>
        <w:spacing w:before="240" w:after="240"/>
        <w:rPr>
          <w:lang w:val="el" w:eastAsia="el"/>
        </w:rPr>
      </w:pPr>
      <w:r>
        <w:rPr>
          <w:lang w:val="el" w:eastAsia="el"/>
        </w:rPr>
        <w:t xml:space="preserve">6. </w:t>
      </w:r>
      <w:r>
        <w:rPr>
          <w:b/>
          <w:bCs/>
          <w:lang w:val="el" w:eastAsia="el"/>
        </w:rPr>
        <w:t>Αποδέκτες Πίνακα Η΄</w:t>
      </w:r>
    </w:p>
    <w:p>
      <w:pPr>
        <w:spacing w:before="240" w:after="240"/>
        <w:rPr>
          <w:lang w:val="el" w:eastAsia="el"/>
        </w:rPr>
      </w:pPr>
      <w:r>
        <w:rPr>
          <w:lang w:val="el" w:eastAsia="el"/>
        </w:rPr>
        <w:t xml:space="preserve">7. </w:t>
      </w:r>
      <w:r>
        <w:rPr>
          <w:b/>
          <w:bCs/>
          <w:lang w:val="el" w:eastAsia="el"/>
        </w:rPr>
        <w:t>Αποδέκτες Πίνακα Θ΄</w:t>
      </w:r>
    </w:p>
    <w:p>
      <w:pPr>
        <w:spacing w:before="240" w:after="240"/>
        <w:rPr>
          <w:lang w:val="el" w:eastAsia="el"/>
        </w:rPr>
      </w:pPr>
      <w:r>
        <w:rPr>
          <w:lang w:val="el" w:eastAsia="el"/>
        </w:rPr>
        <w:t xml:space="preserve">8. </w:t>
      </w:r>
      <w:r>
        <w:rPr>
          <w:b/>
          <w:bCs/>
          <w:lang w:val="el" w:eastAsia="el"/>
        </w:rPr>
        <w:t>Αποδέκτες Πίνακα ΙΒ΄</w:t>
      </w:r>
    </w:p>
    <w:p>
      <w:pPr>
        <w:spacing w:before="240" w:after="240"/>
        <w:rPr>
          <w:lang w:val="el" w:eastAsia="el"/>
        </w:rPr>
      </w:pPr>
      <w:r>
        <w:rPr>
          <w:lang w:val="el" w:eastAsia="el"/>
        </w:rPr>
        <w:t xml:space="preserve">9.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Αποδέκτες Πίνακα ΙΖ΄</w:t>
      </w:r>
    </w:p>
    <w:p>
      <w:pPr>
        <w:spacing w:before="240" w:after="240"/>
        <w:rPr>
          <w:lang w:val="el" w:eastAsia="el"/>
        </w:rPr>
      </w:pPr>
      <w:r>
        <w:rPr>
          <w:lang w:val="el" w:eastAsia="el"/>
        </w:rPr>
        <w:t xml:space="preserve">11. </w:t>
      </w:r>
      <w:r>
        <w:rPr>
          <w:b/>
          <w:bCs/>
          <w:lang w:val="el" w:eastAsia="el"/>
        </w:rPr>
        <w:t>Αποδέκτες Πίνακα ΙΘ΄</w:t>
      </w:r>
    </w:p>
    <w:p>
      <w:pPr>
        <w:spacing w:before="240" w:after="240"/>
        <w:rPr>
          <w:lang w:val="el" w:eastAsia="el"/>
        </w:rPr>
      </w:pPr>
      <w:r>
        <w:rPr>
          <w:lang w:val="el" w:eastAsia="el"/>
        </w:rPr>
        <w:t xml:space="preserve">12 </w:t>
      </w:r>
      <w:r>
        <w:rPr>
          <w:b/>
          <w:bCs/>
          <w:lang w:val="el" w:eastAsia="el"/>
        </w:rPr>
        <w:t>Αποδέκτες Πίνακα ΚΒ΄</w:t>
      </w:r>
    </w:p>
    <w:p>
      <w:pPr>
        <w:spacing w:before="240" w:after="240"/>
        <w:rPr>
          <w:lang w:val="el" w:eastAsia="el"/>
        </w:rPr>
      </w:pPr>
      <w:r>
        <w:rPr>
          <w:lang w:val="el" w:eastAsia="el"/>
        </w:rPr>
        <w:t xml:space="preserve">13.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14.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15.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κ. Γενικών Διευθυντών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Διεύθυνση Ελεγκτικών Διαδικασιών</w:t>
      </w:r>
    </w:p>
    <w:p>
      <w:pPr>
        <w:spacing w:before="240" w:after="240"/>
        <w:rPr>
          <w:lang w:val="el" w:eastAsia="el"/>
        </w:rPr>
      </w:pPr>
      <w:r>
        <w:rPr>
          <w:lang w:val="el" w:eastAsia="el"/>
        </w:rPr>
        <w:t xml:space="preserve">5. </w:t>
      </w:r>
      <w:r>
        <w:rPr>
          <w:b/>
          <w:bCs/>
          <w:lang w:val="el" w:eastAsia="el"/>
        </w:rPr>
        <w:t>Διεύθυνση Εφαρμογής Έμμεσης Φορολογίας</w:t>
      </w:r>
    </w:p>
    <w:p>
      <w:pPr>
        <w:spacing w:before="240" w:after="240"/>
        <w:rPr>
          <w:lang w:val="el" w:eastAsia="el"/>
        </w:rPr>
      </w:pPr>
      <w:r>
        <w:rPr>
          <w:lang w:val="el" w:eastAsia="el"/>
        </w:rPr>
        <w:t xml:space="preserve">6. </w:t>
      </w:r>
      <w:r>
        <w:rPr>
          <w:b/>
          <w:bCs/>
          <w:lang w:val="el" w:eastAsia="el"/>
        </w:rPr>
        <w:t>Διεύθυνση Διαδικασιών Εισπράξεων και Επιστροφών</w:t>
      </w:r>
    </w:p>
    <w:p>
      <w:pPr>
        <w:spacing w:before="240" w:after="240"/>
        <w:rPr>
          <w:lang w:val="el" w:eastAsia="el"/>
        </w:rPr>
      </w:pPr>
      <w:r>
        <w:rPr>
          <w:lang w:val="el" w:eastAsia="el"/>
        </w:rPr>
        <w:t xml:space="preserve">7. </w:t>
      </w:r>
      <w:r>
        <w:rPr>
          <w:b/>
          <w:bCs/>
          <w:lang w:val="el" w:eastAsia="el"/>
        </w:rPr>
        <w:t>Διεύθυνση Προγραμματισμού και Αξιολόγησης Ελέγχων και Ερευνών</w:t>
      </w:r>
    </w:p>
    <w:p>
      <w:pPr>
        <w:spacing w:before="240" w:after="240"/>
        <w:rPr>
          <w:lang w:val="el" w:eastAsia="el"/>
        </w:rPr>
      </w:pPr>
      <w:r>
        <w:rPr>
          <w:lang w:val="el" w:eastAsia="el"/>
        </w:rPr>
        <w:t xml:space="preserve">8. </w:t>
      </w:r>
      <w:r>
        <w:rPr>
          <w:b/>
          <w:bCs/>
          <w:lang w:val="el" w:eastAsia="el"/>
        </w:rPr>
        <w:t>Διεύθυνση Επιχειρησιακού Σχεδιασμού Ελέγχων</w:t>
      </w:r>
    </w:p>
    <w:p>
      <w:pPr>
        <w:spacing w:before="240" w:after="240"/>
        <w:rPr>
          <w:lang w:val="el" w:eastAsia="el"/>
        </w:rPr>
      </w:pPr>
      <w:r>
        <w:rPr>
          <w:lang w:val="el" w:eastAsia="el"/>
        </w:rPr>
        <w:t xml:space="preserve">9. </w:t>
      </w:r>
      <w:r>
        <w:rPr>
          <w:b/>
          <w:bCs/>
          <w:lang w:val="el" w:eastAsia="el"/>
        </w:rPr>
        <w:t>Διεύθυνση Στρατηγικών Τελωνειακών Ελέγχων και Παραβάσεων</w:t>
      </w:r>
    </w:p>
    <w:p>
      <w:pPr>
        <w:spacing w:before="240" w:after="240"/>
        <w:rPr>
          <w:lang w:val="el" w:eastAsia="el"/>
        </w:rPr>
      </w:pPr>
      <w:r>
        <w:rPr>
          <w:lang w:val="el" w:eastAsia="el"/>
        </w:rPr>
        <w:t xml:space="preserve">10. </w:t>
      </w:r>
      <w:r>
        <w:rPr>
          <w:b/>
          <w:bCs/>
          <w:lang w:val="el" w:eastAsia="el"/>
        </w:rPr>
        <w:t>Διεύθυνση Επιχειρησιακών Διαδικασιών</w:t>
      </w:r>
    </w:p>
    <w:p>
      <w:pPr>
        <w:spacing w:before="240" w:after="240"/>
        <w:rPr>
          <w:lang w:val="el" w:eastAsia="el"/>
        </w:rPr>
      </w:pPr>
      <w:r>
        <w:rPr>
          <w:lang w:val="el" w:eastAsia="el"/>
        </w:rPr>
        <w:t xml:space="preserve">11. </w:t>
      </w:r>
      <w:r>
        <w:rPr>
          <w:b/>
          <w:bCs/>
          <w:lang w:val="el" w:eastAsia="el"/>
        </w:rPr>
        <w:t>Διεύθυνση Ανάπτυξης Φορολογικών Εφαρμογών</w:t>
      </w:r>
    </w:p>
    <w:p>
      <w:pPr>
        <w:spacing w:before="240" w:after="240"/>
        <w:rPr>
          <w:lang w:val="el" w:eastAsia="el"/>
        </w:rPr>
      </w:pPr>
      <w:r>
        <w:rPr>
          <w:lang w:val="el" w:eastAsia="el"/>
        </w:rPr>
        <w:t xml:space="preserve">12. </w:t>
      </w:r>
      <w:r>
        <w:rPr>
          <w:b/>
          <w:bCs/>
          <w:lang w:val="el" w:eastAsia="el"/>
        </w:rPr>
        <w:t>Διεύθυνση Υπηρεσιών Δεδομένων</w:t>
      </w:r>
    </w:p>
    <w:p>
      <w:pPr>
        <w:spacing w:before="240" w:after="240"/>
        <w:rPr>
          <w:lang w:val="el" w:eastAsia="el"/>
        </w:rPr>
      </w:pPr>
      <w:r>
        <w:rPr>
          <w:lang w:val="el" w:eastAsia="el"/>
        </w:rPr>
        <w:t xml:space="preserve">13. </w:t>
      </w:r>
      <w:r>
        <w:rPr>
          <w:b/>
          <w:bCs/>
          <w:lang w:val="el" w:eastAsia="el"/>
        </w:rPr>
        <w:t>Διεύθυνση Ανάπτυξης Τελωνειακών Διαδικασιών</w:t>
      </w:r>
    </w:p>
    <w:p>
      <w:pPr>
        <w:spacing w:before="240" w:after="240"/>
        <w:rPr>
          <w:lang w:val="el" w:eastAsia="el"/>
        </w:rPr>
      </w:pPr>
      <w:r>
        <w:rPr>
          <w:lang w:val="el" w:eastAsia="el"/>
        </w:rPr>
        <w:t xml:space="preserve">14. </w:t>
      </w:r>
      <w:r>
        <w:rPr>
          <w:b/>
          <w:bCs/>
          <w:lang w:val="el" w:eastAsia="el"/>
        </w:rPr>
        <w:t>Διεύθυνση Οργάνωσης</w:t>
      </w:r>
    </w:p>
    <w:p>
      <w:pPr>
        <w:spacing w:before="240" w:after="240"/>
        <w:rPr>
          <w:lang w:val="el" w:eastAsia="el"/>
        </w:rPr>
      </w:pPr>
      <w:r>
        <w:rPr>
          <w:lang w:val="el" w:eastAsia="el"/>
        </w:rPr>
        <w:t>Ακριβές Αντίγραφο</w:t>
      </w:r>
    </w:p>
    <w:p>
      <w:pPr>
        <w:spacing w:before="240" w:after="240"/>
        <w:rPr>
          <w:lang w:val="el" w:eastAsia="el"/>
        </w:rPr>
      </w:pPr>
      <w:r>
        <w:rPr>
          <w:lang w:val="el" w:eastAsia="el"/>
        </w:rPr>
        <w:t>Κεντρικό Πρωτόκολλο</w:t>
      </w:r>
    </w:p>
    <w:p>
      <w:pPr>
        <w:spacing w:before="240" w:after="240"/>
        <w:rPr>
          <w:lang w:val="el" w:eastAsia="el"/>
        </w:rPr>
      </w:pPr>
      <w:r>
        <w:rPr>
          <w:lang w:val="el" w:eastAsia="el"/>
        </w:rPr>
        <w:t>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