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07/08/2025</w:t>
      </w:r>
    </w:p>
    <w:p>
      <w:pPr>
        <w:pStyle w:val="Title"/>
        <w:spacing w:before="120" w:after="360"/>
        <w:rPr>
          <w:lang w:val="el" w:eastAsia="el"/>
        </w:rPr>
      </w:pPr>
      <w:r>
        <w:rPr>
          <w:lang w:val="el" w:eastAsia="el"/>
        </w:rPr>
        <w:t>Α. Π.: Εισερχ. Α1119</w:t>
      </w:r>
    </w:p>
    <w:p>
      <w:pPr>
        <w:pStyle w:val="Title"/>
        <w:spacing w:before="120" w:after="360"/>
        <w:rPr>
          <w:lang w:val="el" w:eastAsia="el"/>
        </w:rPr>
      </w:pPr>
      <w:r>
        <w:rPr>
          <w:lang w:val="el" w:eastAsia="el"/>
        </w:rPr>
        <w:t>Α. Π. Αποστολέα: Α1119 Ημ/νία Αποστολής: 07/08/2025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ΚΑΙ ΕΦΚ ΔΙΕΥΘΥΝΣΗ ΕΦΚ ΚΑΙ ΦΠΑ</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Φορολογίας Αυτοκινήτων Οχημάτων και Λοιπών Φορολογιών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 Κ.Κίκιρα</w:t>
      </w:r>
    </w:p>
    <w:p>
      <w:pPr>
        <w:spacing w:before="240" w:after="240"/>
        <w:rPr>
          <w:lang w:val="el" w:eastAsia="el"/>
        </w:rPr>
      </w:pPr>
      <w:r>
        <w:rPr>
          <w:b/>
          <w:bCs/>
          <w:lang w:val="el" w:eastAsia="el"/>
        </w:rPr>
        <w:t xml:space="preserve">213 1410647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1051/6-2-2019 απόφασης του Διοικητή της Ανεξάρτητης Αρχής Δημοσίων Εσόδων «Καθορισμός όρων, προϋποθέσεων και διατυπώσεων για την εφαρμογή των διατάξεων του άρθρου 129 του ν.2960/2001, ως προς τη δήλωση άφιξης κοινοτικών οχημάτων, για σκοπούς επιβολής τέλους ταξινόμησης» (Β΄434).</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135, 136, 137,138, 139 ,140, 144, 145, 146 και 154 του ν.5222/2025 «Εθνικός Τελωνειακός Κώδικας και άλλες διατάξεις-Συνταξιοδοτικές διατάξεις» (A’134) και ιδίως της εξουσιοδοτικής διάταξης της παρ. 10 του άρθρου 197,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spacing w:before="240" w:after="240"/>
        <w:rPr>
          <w:lang w:val="el" w:eastAsia="el"/>
        </w:rPr>
      </w:pPr>
      <w:r>
        <w:rPr>
          <w:u w:val="single"/>
          <w:lang w:val="el" w:eastAsia="el"/>
        </w:rPr>
        <w:t xml:space="preserve">2.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u w:val="single"/>
          <w:lang w:val="el" w:eastAsia="el"/>
        </w:rPr>
        <w:t xml:space="preserve">3. </w:t>
      </w:r>
      <w:r>
        <w:rPr>
          <w:b/>
          <w:bCs/>
          <w:u w:val="single"/>
          <w:lang w:val="el" w:eastAsia="el"/>
        </w:rPr>
        <w:t>Την υπό στοιχεία Δ6Α 1015213 ΕΞ 2013/28.01.2013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w:t>
      </w:r>
    </w:p>
    <w:p>
      <w:pPr>
        <w:spacing w:before="240" w:after="240"/>
        <w:rPr>
          <w:lang w:val="el" w:eastAsia="el"/>
        </w:rPr>
      </w:pPr>
      <w:r>
        <w:rPr>
          <w:u w:val="single"/>
          <w:lang w:val="el" w:eastAsia="el"/>
        </w:rPr>
        <w:t xml:space="preserve">4.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υπ΄αρ. 39/3/30-11-2017 (Υ.Ο.Δ.Δ. 689) αποφάσεις του Συμβουλίου Διοίκησης της ΑΑΔΕ, υπό στοιχεία 5294 ΕΞ 2020/17-01-2020 (Υ.Ο.Δ.Δ. 27) του Υπουργού Οικονομικών,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5. </w:t>
      </w:r>
      <w:r>
        <w:rPr>
          <w:b/>
          <w:bCs/>
          <w:u w:val="single"/>
          <w:lang w:val="el" w:eastAsia="el"/>
        </w:rPr>
        <w:t>Την υπό στοιχεία Α.1113/2023 απόφαση του Διοικητή της Ανεξάρτητης Αρχής Δημοσίων Εσόδων «Όροι και προϋποθέσεις για τη χορήγηση άδειας φορολογικής αποθήκης ενωσιακών οχημάτων, την παρακολούθηση και τη λειτουργία αυτής» (Β΄4860).</w:t>
      </w:r>
    </w:p>
    <w:p>
      <w:pPr>
        <w:spacing w:before="240" w:after="240"/>
        <w:rPr>
          <w:lang w:val="el" w:eastAsia="el"/>
        </w:rPr>
      </w:pPr>
      <w:r>
        <w:rPr>
          <w:u w:val="single"/>
          <w:lang w:val="el" w:eastAsia="el"/>
        </w:rPr>
        <w:t xml:space="preserve">6. </w:t>
      </w:r>
      <w:r>
        <w:rPr>
          <w:b/>
          <w:bCs/>
          <w:u w:val="single"/>
          <w:lang w:val="el" w:eastAsia="el"/>
        </w:rPr>
        <w:t>Την υπό στοιχεία Α.1121/2024 απόφαση του Υφυπουργού Εθνικής Οικονομίας και Οικονομικών «Όροι και προϋποθέσεις χορήγησης άδειας εγκεκριμένου αποθηκευτή ενωσιακών οχημάτων» (Β΄4640).</w:t>
      </w:r>
    </w:p>
    <w:p>
      <w:pPr>
        <w:spacing w:before="240" w:after="240"/>
        <w:rPr>
          <w:lang w:val="el" w:eastAsia="el"/>
        </w:rPr>
      </w:pPr>
      <w:r>
        <w:rPr>
          <w:u w:val="single"/>
          <w:lang w:val="el" w:eastAsia="el"/>
        </w:rPr>
        <w:t xml:space="preserve">7. </w:t>
      </w:r>
      <w:r>
        <w:rPr>
          <w:b/>
          <w:bCs/>
          <w:u w:val="single"/>
          <w:lang w:val="el" w:eastAsia="el"/>
        </w:rPr>
        <w:t>Την υπό στοιχεία Α.1051/2019 απόφαση του Διοικητή της Ανεξάρτητης Αρχής Δημοσίων Εσόδων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spacing w:before="240" w:after="240"/>
        <w:rPr>
          <w:lang w:val="el" w:eastAsia="el"/>
        </w:rPr>
      </w:pPr>
      <w:r>
        <w:rPr>
          <w:u w:val="single"/>
          <w:lang w:val="el" w:eastAsia="el"/>
        </w:rPr>
        <w:t xml:space="preserve">8. </w:t>
      </w:r>
      <w:r>
        <w:rPr>
          <w:b/>
          <w:bCs/>
          <w:u w:val="single"/>
          <w:lang w:val="el" w:eastAsia="el"/>
        </w:rPr>
        <w:t>Την υπό στοιχεία Α. 1159/2022 απόφαση του Διοικητή της Ανεξάρτητης Αρχής Δημοσίων Εσόδων «Καθορισμός όρων, προϋποθέσεων και διατυπώσεων για την εφαρμογή της παρ. 5 του άρθρου 129 του ν.2960/2001 (Α’ 265) σχετικά με την Άδεια Διακίνησης Οχημάτων» (Β΄5770 και διορθώσεις σφαλμάτων Β' 6292).</w:t>
      </w:r>
    </w:p>
    <w:p>
      <w:pPr>
        <w:spacing w:before="240" w:after="240"/>
        <w:rPr>
          <w:lang w:val="el" w:eastAsia="el"/>
        </w:rPr>
      </w:pPr>
      <w:r>
        <w:rPr>
          <w:u w:val="single"/>
          <w:lang w:val="el" w:eastAsia="el"/>
        </w:rPr>
        <w:t xml:space="preserve">9. </w:t>
      </w:r>
      <w:r>
        <w:rPr>
          <w:b/>
          <w:bCs/>
          <w:u w:val="single"/>
          <w:lang w:val="el" w:eastAsia="el"/>
        </w:rPr>
        <w:t>Την υπό στοιχεία Α.1203/2019 απόφαση του Διοικητή της Ανεξάρτητης Αρχής Δημοσίων Εσόδων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spacing w:before="240" w:after="240"/>
        <w:rPr>
          <w:lang w:val="el" w:eastAsia="el"/>
        </w:rPr>
      </w:pPr>
      <w:r>
        <w:rPr>
          <w:u w:val="single"/>
          <w:lang w:val="el" w:eastAsia="el"/>
        </w:rPr>
        <w:t xml:space="preserve">10. </w:t>
      </w:r>
      <w:r>
        <w:rPr>
          <w:b/>
          <w:bCs/>
          <w:u w:val="single"/>
          <w:lang w:val="el" w:eastAsia="el"/>
        </w:rPr>
        <w:t>Την υπό στοιχεία ΔΕΦΚ 5041345 ΕΞ 2013/28-11-2013 εγκύκλιο διαταγή του Γενικού Διευθυντή Τελωνείων και Ε.Φ.Κ. «Οδηγίες για τη λειτουργία του υποσυστήματος Ειδικών Φόρων Κατανάλωσης στο ICISNET».</w:t>
      </w:r>
    </w:p>
    <w:p>
      <w:pPr>
        <w:spacing w:before="240" w:after="240"/>
        <w:rPr>
          <w:lang w:val="el" w:eastAsia="el"/>
        </w:rPr>
      </w:pPr>
      <w:r>
        <w:rPr>
          <w:u w:val="single"/>
          <w:lang w:val="el" w:eastAsia="el"/>
        </w:rPr>
        <w:t xml:space="preserve">11. </w:t>
      </w:r>
      <w:r>
        <w:rPr>
          <w:b/>
          <w:bCs/>
          <w:u w:val="single"/>
          <w:lang w:val="el" w:eastAsia="el"/>
        </w:rPr>
        <w:t>Την ανάγκη απλούστευσης και ομοιόμορφης τήρησης των διαδικασιών που ορίζονται στην ανωτέρω υπό στοιχεία Α.1051/2019 απόφαση του Διοικητή της Ανεξάρτητης Αρχής Δημοσίων Εσόδων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 434),</w:t>
      </w:r>
    </w:p>
    <w:p>
      <w:pPr>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u w:val="single"/>
          <w:lang w:val="el" w:eastAsia="el"/>
        </w:rPr>
        <w:t xml:space="preserve">13. </w:t>
      </w:r>
      <w:r>
        <w:rPr>
          <w:b/>
          <w:bCs/>
          <w:u w:val="single"/>
          <w:lang w:val="el" w:eastAsia="el"/>
        </w:rPr>
        <w:t>Το γεγονός ότι με τις διατάξεις της παρούσας τροποποιείται η διοικητική διαδικασία με επίσημο τίτλο «Δήλωση άφιξης κοινοτικών οχημάτων για σκοπούς επιβολής τέλους ταξινόμησης ΔΑΟ» και Μοναδικό Αριθμό Καταχώρισης (Μ.Α.Κ.) στο ΕΜΔΔ «Μίτος» 653648.</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Η υπό στοιχεία Α.1051/6-2-2019 απόφαση του Διοικητή της Ανεξάρτητης Αρχής Δημοσίων Εσόδων (Β΄434) τροποποιείται,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 5 του άρθρου 5 αντικαθίσταται, ως ακολούθως:</w:t>
      </w:r>
    </w:p>
    <w:p>
      <w:pPr>
        <w:spacing w:before="240" w:after="240"/>
        <w:rPr>
          <w:lang w:val="el" w:eastAsia="el"/>
        </w:rPr>
      </w:pPr>
      <w:r>
        <w:rPr>
          <w:u w:val="single"/>
          <w:lang w:val="el" w:eastAsia="el"/>
        </w:rPr>
        <w:t xml:space="preserve">«5 </w:t>
      </w:r>
      <w:r>
        <w:rPr>
          <w:b/>
          <w:bCs/>
          <w:u w:val="single"/>
          <w:lang w:val="el" w:eastAsia="el"/>
        </w:rPr>
        <w:t>. Με την Δ.A.O. συνυποβάλλονται, υποχρεωτικά, ψηφιακά τα ακόλουθα υποστηρικτικά έγγραφα, κατά περίπτωση, την ίδια ημέρα με την υποβολή της, με την επιφύλαξη των κατωτέρω ειδικότερων προβλέψεων:</w:t>
      </w:r>
    </w:p>
    <w:p>
      <w:pPr>
        <w:spacing w:before="240" w:after="240"/>
        <w:rPr>
          <w:lang w:val="el" w:eastAsia="el"/>
        </w:rPr>
      </w:pPr>
      <w:r>
        <w:rPr>
          <w:b/>
          <w:bCs/>
          <w:u w:val="single"/>
          <w:lang w:val="el" w:eastAsia="el"/>
        </w:rPr>
        <w:t>α. Φορτωτική σε περίπτωση έμφορτης μεταφοράς. Σε περίπτωση που δεν έχει εκδοθεί κατά την ημερομηνία υποβολής της Δ.Α.Ο., η φορτωτική υποβάλλεται κατά την ημερομηνία έκδοσης αυτής και όχι αργότερα από την ημερομηνία άφιξης του οχήματος στη χώρα.</w:t>
      </w:r>
    </w:p>
    <w:p>
      <w:pPr>
        <w:spacing w:before="240" w:after="240"/>
        <w:rPr>
          <w:lang w:val="el" w:eastAsia="el"/>
        </w:rPr>
      </w:pPr>
      <w:r>
        <w:rPr>
          <w:b/>
          <w:bCs/>
          <w:u w:val="single"/>
          <w:lang w:val="el" w:eastAsia="el"/>
        </w:rPr>
        <w:t>β. Αντίγραφο της άδειας κυκλοφορίας ή της προσωρινής άδειας κυκλοφορίας, εφόσον τα εν λόγω έγγραφα είναι διαθέσιμα,</w:t>
      </w:r>
    </w:p>
    <w:p>
      <w:pPr>
        <w:spacing w:before="240" w:after="240"/>
        <w:rPr>
          <w:lang w:val="el" w:eastAsia="el"/>
        </w:rPr>
      </w:pPr>
      <w:r>
        <w:rPr>
          <w:b/>
          <w:bCs/>
          <w:u w:val="single"/>
          <w:lang w:val="el" w:eastAsia="el"/>
        </w:rPr>
        <w:t>γ. Για τις περιπτώσεις μη έμφορτης μεταφοράς, φωτοαντίγραφα των στοιχείων εκείνων που αποδεικνύουν την είσοδο στη χώρα, στα οποία περιλαμβάνονται ενδεικτικά τα αποδεικτικά τέλους διοδίων, τα εισιτήρια πλοίων στις περιπτώσεις θαλάσσιας μεταφοράς, ή οποιοδήποτε άλλο στοιχείο αποδεικνύει την είσοδο στη χώρα κατά περίπτωση. Σε περίπτωση που τα εν λόγω δικαιολογητικά δεν έχουν εκδοθεί έως την ημέρα υποβολής της Δ.Α.Ο., αυτά υποβάλλονται το αργότερο εντός της επόμενης εργάσιμης ημέρας από την άφιξη του οχήματος στη χώρα.</w:t>
      </w:r>
    </w:p>
    <w:p>
      <w:pPr>
        <w:spacing w:before="240" w:after="240"/>
        <w:rPr>
          <w:lang w:val="el" w:eastAsia="el"/>
        </w:rPr>
      </w:pPr>
      <w:r>
        <w:rPr>
          <w:b/>
          <w:bCs/>
          <w:u w:val="single"/>
          <w:lang w:val="el" w:eastAsia="el"/>
        </w:rPr>
        <w:t>δ. Υπεύθυνη Δήλωση του ν. 1599/1986 του παραλήπτη του οχήματος, με συμπληρωμένα όλα τα απαραίτητα στοιχεία του και στην οποία δηλώνεται:</w:t>
      </w:r>
    </w:p>
    <w:p>
      <w:pPr>
        <w:spacing w:before="240" w:after="240"/>
        <w:rPr>
          <w:lang w:val="el" w:eastAsia="el"/>
        </w:rPr>
      </w:pPr>
      <w:r>
        <w:rPr>
          <w:u w:val="single"/>
          <w:lang w:val="el" w:eastAsia="el"/>
        </w:rPr>
        <w:t xml:space="preserve">i) </w:t>
      </w:r>
      <w:r>
        <w:rPr>
          <w:b/>
          <w:bCs/>
          <w:u w:val="single"/>
          <w:lang w:val="el" w:eastAsia="el"/>
        </w:rPr>
        <w:t>η διάρκεια σε ημέρες για την μετακίνηση του οχήματος από την είσοδο στη χώρα έως τον δηλωθέντα τόπο προορισμού, με πλήρη τα στοιχεία της διεύθυνσης του τόπου προορισμού, και</w:t>
      </w:r>
    </w:p>
    <w:p>
      <w:pPr>
        <w:spacing w:before="240" w:after="240"/>
        <w:rPr>
          <w:lang w:val="el" w:eastAsia="el"/>
        </w:rPr>
      </w:pPr>
      <w:r>
        <w:rPr>
          <w:u w:val="single"/>
          <w:lang w:val="el" w:eastAsia="el"/>
        </w:rPr>
        <w:t xml:space="preserve">ii) </w:t>
      </w:r>
      <w:r>
        <w:rPr>
          <w:b/>
          <w:bCs/>
          <w:u w:val="single"/>
          <w:lang w:val="el" w:eastAsia="el"/>
        </w:rPr>
        <w:t>η δέσμευσή του, για τη διαθεσιμότητα του οχήματος στον ανωτέρω τόπο προορισμού μέχρι την υποβολή της Ειδικής Δήλωσης και την ολοκλήρωση των προβλεπόμενων ελέγχων για τη βεβαίωση και είσπραξη του τέλους ταξινόμησης.</w:t>
      </w:r>
    </w:p>
    <w:p>
      <w:pPr>
        <w:spacing w:before="240" w:after="240"/>
        <w:rPr>
          <w:lang w:val="el" w:eastAsia="el"/>
        </w:rPr>
      </w:pPr>
      <w:r>
        <w:rPr>
          <w:b/>
          <w:bCs/>
          <w:u w:val="single"/>
          <w:lang w:val="el" w:eastAsia="el"/>
        </w:rPr>
        <w:t>Σε περίπτωση που η Υπεύθυνη Δήλωση δεν δύναται να υποβληθεί την ίδια μέρα υποβολής της Δ.Α.Ο., αυτή υποβάλλεται την αμέσως επόμενη εργάσιμη ημέρα.</w:t>
      </w:r>
    </w:p>
    <w:p>
      <w:pPr>
        <w:spacing w:before="240" w:after="240"/>
        <w:rPr>
          <w:lang w:val="el" w:eastAsia="el"/>
        </w:rPr>
      </w:pPr>
      <w:r>
        <w:rPr>
          <w:b/>
          <w:bCs/>
          <w:u w:val="single"/>
          <w:lang w:val="el" w:eastAsia="el"/>
        </w:rPr>
        <w:t>Δεν απαιτείται η θεώρηση του γνησίου της υπογραφής της υπεύθυνης δήλωσης, όταν αυτή εκδίδεται μέσω της Ενιαίας Ψηφιακής Πύλης της Δημόσιας Διοίκησης (gov.gr-ΕΨΠ).</w:t>
      </w:r>
    </w:p>
    <w:p>
      <w:pPr>
        <w:spacing w:before="240" w:after="240"/>
        <w:rPr>
          <w:lang w:val="el" w:eastAsia="el"/>
        </w:rPr>
      </w:pPr>
      <w:r>
        <w:rPr>
          <w:b/>
          <w:bCs/>
          <w:u w:val="single"/>
          <w:lang w:val="el" w:eastAsia="el"/>
        </w:rPr>
        <w:t>Η ως άνω υπεύθυνη δήλωση είναι δυνατό να υποβάλλεται από τον νόμιμο αντιπρόσωπο του παραλήπτη του οχήματος, εφόσον υφίσταται σχετική εξουσιοδότηση ως προς την μετακίνηση</w:t>
      </w:r>
    </w:p>
    <w:p>
      <w:pPr>
        <w:spacing w:before="240" w:after="240"/>
        <w:rPr>
          <w:lang w:val="el" w:eastAsia="el"/>
        </w:rPr>
      </w:pPr>
      <w:r>
        <w:rPr>
          <w:b/>
          <w:bCs/>
          <w:u w:val="single"/>
          <w:lang w:val="el" w:eastAsia="el"/>
        </w:rPr>
        <w:t>και ακινητοποίηση του οχήματος στον τόπο προορισμού μέχρι και την υποβολή της Ειδικής Δήλωσης για την βεβαίωση και καταβολή του τέλους ταξινόμησης.</w:t>
      </w:r>
    </w:p>
    <w:p>
      <w:pPr>
        <w:spacing w:before="240" w:after="240"/>
        <w:rPr>
          <w:lang w:val="el" w:eastAsia="el"/>
        </w:rPr>
      </w:pPr>
      <w:r>
        <w:rPr>
          <w:b/>
          <w:bCs/>
          <w:u w:val="single"/>
          <w:lang w:val="el" w:eastAsia="el"/>
        </w:rPr>
        <w:t>Δεν υποβάλλεται υπεύθυνη δήλωση για οχήματα για τα οποία δηλώνεται ως τόπος προορισμού ο τόπος της υποπερ.αα. της περ.β. του άρθρου 2.».</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Tο άρθρο 6 αντικαθίσταται,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τα οχήματα που μεταφέρονται, είτε αυτοδύναμα, είτε έμφορτα, παρέχεται η δυνατότητα να δηλώνεται εναλλακτικά επί της Δ.Α.Ο., κατ’ εφαρμογή της υποπερ. εε. της περ. β. του άρθρου 2, ως τόπος προορισμού:</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διεύθυνση φορολογικής αποθήκης ή αποθηκευτικής εγκατάστασης ή χώρου που εμπίπτει στην χωρική αρμοδιότητα του πλησιέστερου στην είσοδο τελωνείου υποβολής της Δ.Α.Ο., εφόσον αυτό έχει καθ’ ύλην αρμοδιότητα για τη βεβαίωση και είσπραξη του τέλους ταξινόμησης, ή</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οποιαδήποτε άλλη διεύθυνση φορολογικής αποθήκης ή αποθηκευτικής εγκατάστασης ή χώρου, υπό την προϋπόθεση ότι στην Περιφερειακή Ενότητα, όπου βρίσκεται αυτή, υπάρχει τελωνειακή αρχή με καθ’ ύλην αρμοδιότητα βεβαίωσης και είσπραξης του τέλους ταξινόμησης και στην οποία υποβάλλεται υποχρεωτικά η Ειδική Δήλωση και ολοκληρώνονται οι προβλεπόμενοι έλεγχοι για την βεβαίωση και είσπραξη του τέλους ταξινόμησης.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ισχύς της παρούσας αρχίζει από τη δημοσίευσή της στην Εφημερίδα της Κυβερνήσεως.</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 xml:space="preserve">1. </w:t>
      </w:r>
      <w:r>
        <w:rPr>
          <w:b/>
          <w:bCs/>
          <w:u w:val="single"/>
          <w:lang w:val="el" w:eastAsia="el"/>
        </w:rPr>
        <w:t>Γραφείο κ.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4. </w:t>
      </w:r>
      <w:r>
        <w:rPr>
          <w:b/>
          <w:bCs/>
          <w:u w:val="single"/>
          <w:lang w:val="el" w:eastAsia="el"/>
        </w:rPr>
        <w:t>Δ/νση Εσωτερικού Ελέγχου</w:t>
      </w:r>
    </w:p>
    <w:p>
      <w:pPr>
        <w:spacing w:before="240" w:after="240"/>
        <w:rPr>
          <w:lang w:val="el" w:eastAsia="el"/>
        </w:rPr>
      </w:pPr>
      <w:r>
        <w:rPr>
          <w:u w:val="single"/>
          <w:lang w:val="el" w:eastAsia="el"/>
        </w:rPr>
        <w:t xml:space="preserve">5.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6.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7.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8.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9. </w:t>
      </w:r>
      <w:r>
        <w:rPr>
          <w:b/>
          <w:bCs/>
          <w:u w:val="single"/>
          <w:lang w:val="el" w:eastAsia="el"/>
        </w:rPr>
        <w:t>Διεύθυνση Επικοινωνίας</w:t>
      </w:r>
    </w:p>
    <w:p>
      <w:pPr>
        <w:spacing w:before="240" w:after="240"/>
        <w:rPr>
          <w:lang w:val="el" w:eastAsia="el"/>
        </w:rPr>
      </w:pPr>
      <w:r>
        <w:rPr>
          <w:u w:val="single"/>
          <w:lang w:val="el" w:eastAsia="el"/>
        </w:rPr>
        <w:t xml:space="preserve">10. </w:t>
      </w:r>
      <w:r>
        <w:rPr>
          <w:b/>
          <w:bCs/>
          <w:u w:val="single"/>
          <w:lang w:val="el" w:eastAsia="el"/>
        </w:rPr>
        <w:t>Δ/νση Εφαρμογής Έμμεσης Φορολογίας Τμήμα Β’ Τελών και Ειδικών ορολογιών</w:t>
      </w:r>
    </w:p>
    <w:p>
      <w:pPr>
        <w:spacing w:before="240" w:after="240"/>
        <w:rPr>
          <w:lang w:val="el" w:eastAsia="el"/>
        </w:rPr>
      </w:pPr>
      <w:r>
        <w:rPr>
          <w:u w:val="single"/>
          <w:lang w:val="el" w:eastAsia="el"/>
        </w:rPr>
        <w:t xml:space="preserve">11. </w:t>
      </w:r>
      <w:r>
        <w:rPr>
          <w:b/>
          <w:bCs/>
          <w:u w:val="single"/>
          <w:lang w:val="el" w:eastAsia="el"/>
        </w:rPr>
        <w:t>Υπουργείο Υποδομών και Μεταφορών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Γενική Δ/νση Μεταφορών Δ/νση Επιβατικών Μεταφορών (Δ32)</w:t>
      </w:r>
    </w:p>
    <w:p>
      <w:pPr>
        <w:spacing w:before="240" w:after="240"/>
        <w:rPr>
          <w:lang w:val="el" w:eastAsia="el"/>
        </w:rPr>
      </w:pPr>
      <w:r>
        <w:rPr>
          <w:b/>
          <w:bCs/>
          <w:u w:val="single"/>
          <w:lang w:val="el" w:eastAsia="el"/>
        </w:rPr>
        <w:t>Αναστάσεως 2 &amp; Τσιγάντε, Τ.Κ.101 91 Παπάγου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Γενική Δ/νση Διοικητικών Υπηρεσιών Δ/νση Διοικητικής Οργάνωσης (Δ6)</w:t>
      </w:r>
    </w:p>
    <w:p>
      <w:pPr>
        <w:spacing w:before="240" w:after="240"/>
        <w:rPr>
          <w:lang w:val="el" w:eastAsia="el"/>
        </w:rPr>
      </w:pPr>
      <w:r>
        <w:rPr>
          <w:b/>
          <w:bCs/>
          <w:u w:val="single"/>
          <w:lang w:val="el" w:eastAsia="el"/>
        </w:rPr>
        <w:t>Χαριλάου Τρικούπη 182,Τ.Κ.101 78</w:t>
      </w:r>
    </w:p>
    <w:p>
      <w:pPr>
        <w:spacing w:before="240" w:after="240"/>
        <w:rPr>
          <w:lang w:val="el" w:eastAsia="el"/>
        </w:rPr>
      </w:pPr>
      <w:r>
        <w:rPr>
          <w:u w:val="single"/>
          <w:lang w:val="el" w:eastAsia="el"/>
        </w:rPr>
        <w:t xml:space="preserve">12.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u w:val="single"/>
          <w:lang w:val="el" w:eastAsia="el"/>
        </w:rPr>
        <w:t xml:space="preserve">13. </w:t>
      </w:r>
      <w:r>
        <w:rPr>
          <w:b/>
          <w:bCs/>
          <w:u w:val="single"/>
          <w:lang w:val="el" w:eastAsia="el"/>
        </w:rPr>
        <w:t>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u w:val="single"/>
          <w:lang w:val="el" w:eastAsia="el"/>
        </w:rPr>
        <w:t xml:space="preserve">14.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u w:val="single"/>
          <w:lang w:val="el" w:eastAsia="el"/>
        </w:rPr>
        <w:t xml:space="preserve">15.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u w:val="single"/>
          <w:lang w:val="el" w:eastAsia="el"/>
        </w:rPr>
        <w:t xml:space="preserve">16. </w:t>
      </w:r>
      <w:r>
        <w:rPr>
          <w:b/>
          <w:bCs/>
          <w:u w:val="single"/>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u w:val="single"/>
          <w:lang w:val="el" w:eastAsia="el"/>
        </w:rPr>
        <w:t xml:space="preserve">17.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Τ.Κ.152 32 Χαλάνδρι</w:t>
      </w:r>
    </w:p>
    <w:p>
      <w:pPr>
        <w:spacing w:before="240" w:after="240"/>
        <w:rPr>
          <w:lang w:val="el" w:eastAsia="el"/>
        </w:rPr>
      </w:pPr>
      <w:r>
        <w:rPr>
          <w:u w:val="single"/>
          <w:lang w:val="el" w:eastAsia="el"/>
        </w:rPr>
        <w:t xml:space="preserve">18.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248,Τ.Κ. 176 75 Καλλιθέα</w:t>
      </w:r>
    </w:p>
    <w:p>
      <w:pPr>
        <w:spacing w:before="240" w:after="240"/>
        <w:rPr>
          <w:lang w:val="el" w:eastAsia="el"/>
        </w:rPr>
      </w:pPr>
      <w:r>
        <w:rPr>
          <w:u w:val="single"/>
          <w:lang w:val="el" w:eastAsia="el"/>
        </w:rPr>
        <w:t xml:space="preserve">19.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4,Τ.Κ. 104 31 Αθήνα</w:t>
      </w:r>
    </w:p>
    <w:p>
      <w:pPr>
        <w:spacing w:before="240" w:after="240"/>
        <w:rPr>
          <w:lang w:val="el" w:eastAsia="el"/>
        </w:rPr>
      </w:pPr>
      <w:r>
        <w:rPr>
          <w:u w:val="single"/>
          <w:lang w:val="el" w:eastAsia="el"/>
        </w:rPr>
        <w:t xml:space="preserve">20.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Τ.Κ.104 33 Αθήνα</w:t>
      </w:r>
    </w:p>
    <w:p>
      <w:pPr>
        <w:spacing w:before="240" w:after="240"/>
        <w:rPr>
          <w:lang w:val="el" w:eastAsia="el"/>
        </w:rPr>
      </w:pPr>
      <w:r>
        <w:rPr>
          <w:u w:val="single"/>
          <w:lang w:val="el" w:eastAsia="el"/>
        </w:rPr>
        <w:t xml:space="preserve">21. </w:t>
      </w:r>
      <w:r>
        <w:rPr>
          <w:b/>
          <w:bCs/>
          <w:u w:val="single"/>
          <w:lang w:val="el" w:eastAsia="el"/>
        </w:rPr>
        <w:t>Ένωση Εισαγωγέων Μεταχειρισμένων Ανταλλακτικών Αυτοκινήτων Αθηνών, Πειραιώς και Περιχώρων</w:t>
      </w:r>
    </w:p>
    <w:p>
      <w:pPr>
        <w:spacing w:before="240" w:after="240"/>
        <w:rPr>
          <w:lang w:val="el" w:eastAsia="el"/>
        </w:rPr>
      </w:pPr>
      <w:r>
        <w:rPr>
          <w:b/>
          <w:bCs/>
          <w:u w:val="single"/>
          <w:lang w:val="el" w:eastAsia="el"/>
        </w:rPr>
        <w:t>(Ε.Ε.Μ.Α.Α.)</w:t>
      </w:r>
    </w:p>
    <w:p>
      <w:pPr>
        <w:spacing w:before="240" w:after="240"/>
        <w:rPr>
          <w:lang w:val="el" w:eastAsia="el"/>
        </w:rPr>
      </w:pPr>
      <w:r>
        <w:rPr>
          <w:b/>
          <w:bCs/>
          <w:u w:val="single"/>
          <w:lang w:val="el" w:eastAsia="el"/>
        </w:rPr>
        <w:t>Κασσάνδρας 15, Τ.Κ.104 47 Αθήνα</w:t>
      </w:r>
    </w:p>
    <w:p>
      <w:pPr>
        <w:spacing w:before="240" w:after="240"/>
        <w:rPr>
          <w:lang w:val="el" w:eastAsia="el"/>
        </w:rPr>
      </w:pPr>
      <w:r>
        <w:rPr>
          <w:u w:val="single"/>
          <w:lang w:val="el" w:eastAsia="el"/>
        </w:rPr>
        <w:t xml:space="preserve">22. </w:t>
      </w:r>
      <w:r>
        <w:rPr>
          <w:b/>
          <w:bCs/>
          <w:u w:val="single"/>
          <w:lang w:val="el" w:eastAsia="el"/>
        </w:rPr>
        <w:t>Σύνδεσμος Τουριστικών Επιχειρήσεων Ενοικιάσεως Αυτοκινήτων</w:t>
      </w:r>
    </w:p>
    <w:p>
      <w:pPr>
        <w:spacing w:before="240" w:after="240"/>
        <w:rPr>
          <w:lang w:val="el" w:eastAsia="el"/>
        </w:rPr>
      </w:pPr>
      <w:r>
        <w:rPr>
          <w:b/>
          <w:bCs/>
          <w:u w:val="single"/>
          <w:lang w:val="el" w:eastAsia="el"/>
        </w:rPr>
        <w:t xml:space="preserve">Λεωφόρου Λαυρίου 21, Γλυκά Νερά,( e-mail: </w:t>
      </w:r>
      <w:hyperlink r:id="rId6" w:history="1">
        <w:r>
          <w:rPr>
            <w:rStyle w:val="Hyperlink"/>
            <w:b/>
            <w:bCs/>
            <w:color w:val="0000EE"/>
            <w:u w:color="0000EE"/>
            <w:lang w:val="el" w:eastAsia="el"/>
          </w:rPr>
          <w:t>steea@steea.gr</w:t>
        </w:r>
      </w:hyperlink>
      <w:r>
        <w:rPr>
          <w:b/>
          <w:bCs/>
          <w:u w:val="single"/>
          <w:lang w:val="el" w:eastAsia="el"/>
        </w:rPr>
        <w:t xml:space="preserve"> )</w:t>
      </w:r>
    </w:p>
    <w:p>
      <w:pPr>
        <w:spacing w:before="240" w:after="240"/>
        <w:rPr>
          <w:lang w:val="el" w:eastAsia="el"/>
        </w:rPr>
      </w:pPr>
      <w:r>
        <w:rPr>
          <w:u w:val="single"/>
          <w:lang w:val="el" w:eastAsia="el"/>
        </w:rPr>
        <w:t xml:space="preserve">23. </w:t>
      </w:r>
      <w:r>
        <w:rPr>
          <w:b/>
          <w:bCs/>
          <w:u w:val="single"/>
          <w:lang w:val="el" w:eastAsia="el"/>
        </w:rPr>
        <w:t>Ένωση Ελληνικών Εταιριών Χρηματοδοτικής Μίσθωσης Λ. Αθηνών 128 – 132 και Ιφιγένειας, Τ.Κ.104 42 Αθήνα (email:</w:t>
      </w:r>
      <w:hyperlink r:id="rId7" w:history="1">
        <w:r>
          <w:rPr>
            <w:rStyle w:val="Hyperlink"/>
            <w:b/>
            <w:bCs/>
            <w:color w:val="0000EE"/>
            <w:u w:color="0000EE"/>
            <w:lang w:val="el" w:eastAsia="el"/>
          </w:rPr>
          <w:t>a.panoriou@nbgleasing.gr</w:t>
        </w:r>
      </w:hyperlink>
      <w:r>
        <w:rPr>
          <w:b/>
          <w:bCs/>
          <w:u w:val="single"/>
          <w:lang w:val="el" w:eastAsia="el"/>
        </w:rPr>
        <w:t>)</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κ. Διοικητή ΑΑΔΕ</w:t>
      </w:r>
    </w:p>
    <w:p>
      <w:pPr>
        <w:spacing w:before="240" w:after="240"/>
        <w:rPr>
          <w:lang w:val="el" w:eastAsia="el"/>
        </w:rPr>
      </w:pPr>
      <w:r>
        <w:rPr>
          <w:b/>
          <w:bCs/>
          <w:u w:val="single"/>
          <w:lang w:val="el" w:eastAsia="el"/>
        </w:rPr>
        <w:t xml:space="preserve">2.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3.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5.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Κεντρικό Πρωτόκολλο</w:t>
      </w:r>
    </w:p>
    <w:p>
      <w:pPr>
        <w:spacing w:before="240" w:after="240"/>
        <w:rPr>
          <w:lang w:val="el" w:eastAsia="el"/>
        </w:rPr>
      </w:pPr>
      <w:r>
        <w:rPr>
          <w:b/>
          <w:bCs/>
          <w:u w:val="single"/>
          <w:lang w:val="el" w:eastAsia="el"/>
        </w:rPr>
        <w:t>ΜΟΣΧΟΒΗΣ ΒΑΣΙΛΕΙΟΣ</w:t>
      </w:r>
    </w:p>
    <w:p>
      <w:pPr>
        <w:spacing w:before="240" w:after="240"/>
        <w:rPr>
          <w:lang w:val="el" w:eastAsia="el"/>
        </w:rPr>
      </w:pPr>
      <w:r>
        <w:rPr>
          <w:b/>
          <w:bCs/>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w:t>
      </w:r>
    </w:p>
    <w:p>
      <w:pPr>
        <w:spacing w:before="240" w:after="240"/>
        <w:rPr>
          <w:lang w:val="el" w:eastAsia="el"/>
        </w:rPr>
      </w:pPr>
      <w:r>
        <w:rPr>
          <w:b/>
          <w:bCs/>
          <w:u w:val="single"/>
          <w:lang w:val="el" w:eastAsia="el"/>
        </w:rPr>
        <w:t xml:space="preserve">2. </w:t>
      </w:r>
      <w:r>
        <w:rPr>
          <w:b/>
          <w:bCs/>
          <w:u w:val="single"/>
          <w:lang w:val="el" w:eastAsia="el"/>
        </w:rPr>
        <w:t>Τελωνειακές Περιφέρειες (για ενημέρωση των Τελωνείων αρμοδιότητάς τους)</w:t>
      </w:r>
    </w:p>
    <w:p>
      <w:pPr>
        <w:spacing w:before="240" w:after="240"/>
        <w:rPr>
          <w:lang w:val="el" w:eastAsia="el"/>
        </w:rPr>
      </w:pPr>
      <w:r>
        <w:rPr>
          <w:b/>
          <w:bCs/>
          <w:u w:val="single"/>
          <w:lang w:val="el" w:eastAsia="el"/>
        </w:rPr>
        <w:t xml:space="preserve">3. </w:t>
      </w:r>
      <w:r>
        <w:rPr>
          <w:b/>
          <w:bCs/>
          <w:u w:val="single"/>
          <w:lang w:val="el" w:eastAsia="el"/>
        </w:rPr>
        <w:t>Τελωνεία Α΄ και Β΄ Τάξης</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&amp; Ελέγχου Εφαρμογών Τελωνείων Τμήμα Ε΄</w:t>
      </w:r>
    </w:p>
    <w:p>
      <w:pPr>
        <w:spacing w:before="240" w:after="240"/>
        <w:rPr>
          <w:lang w:val="el" w:eastAsia="el"/>
        </w:rPr>
      </w:pPr>
      <w:r>
        <w:rPr>
          <w:b/>
          <w:bCs/>
          <w:u w:val="single"/>
          <w:lang w:val="el" w:eastAsia="el"/>
        </w:rPr>
        <w:t xml:space="preserve">(για ανάρτηση στο portal του ICISnet (E-mail: </w:t>
      </w:r>
      <w:hyperlink r:id="rId8" w:history="1">
        <w:r>
          <w:rPr>
            <w:rStyle w:val="Hyperlink"/>
            <w:b/>
            <w:bCs/>
            <w:color w:val="0000EE"/>
            <w:u w:color="0000EE"/>
            <w:lang w:val="el" w:eastAsia="el"/>
          </w:rPr>
          <w:t>p.bampali@aade.gr</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teea@steea.gr" TargetMode="External" /><Relationship Id="rId7" Type="http://schemas.openxmlformats.org/officeDocument/2006/relationships/hyperlink" Target="mailto:a.panoriou@nbgleasing.gr" TargetMode="External" /><Relationship Id="rId8" Type="http://schemas.openxmlformats.org/officeDocument/2006/relationships/hyperlink" Target="mailto:p.bampali@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