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w:t>
      </w:r>
    </w:p>
    <w:p>
      <w:pPr>
        <w:pStyle w:val="Title"/>
        <w:spacing w:before="120" w:after="360"/>
        <w:rPr>
          <w:lang w:val="el" w:eastAsia="el"/>
        </w:rPr>
      </w:pPr>
      <w:r>
        <w:rPr>
          <w:b/>
          <w:bCs/>
          <w:lang w:val="el" w:eastAsia="el"/>
        </w:rPr>
        <w:t>&amp; ΟΙΚΟΝΟΜΙΚΩΝ</w:t>
      </w:r>
    </w:p>
    <w:p>
      <w:pPr>
        <w:pStyle w:val="Title"/>
        <w:spacing w:before="120" w:after="360"/>
        <w:rPr>
          <w:lang w:val="el" w:eastAsia="el"/>
        </w:rPr>
      </w:pPr>
      <w:r>
        <w:rPr>
          <w:lang w:val="el" w:eastAsia="el"/>
        </w:rPr>
        <w:t>Μοσχάτο, 16/09/2025</w:t>
      </w:r>
    </w:p>
    <w:p>
      <w:pPr>
        <w:pStyle w:val="Title"/>
        <w:spacing w:before="120" w:after="360"/>
        <w:rPr>
          <w:lang w:val="el" w:eastAsia="el"/>
        </w:rPr>
      </w:pPr>
      <w:r>
        <w:rPr>
          <w:lang w:val="el" w:eastAsia="el"/>
        </w:rPr>
        <w:t>Αριθμός Απόφασης: Α.1128</w:t>
      </w:r>
    </w:p>
    <w:p>
      <w:pPr>
        <w:pStyle w:val="Title"/>
        <w:spacing w:before="120" w:after="360"/>
        <w:rPr>
          <w:lang w:val="el" w:eastAsia="el"/>
        </w:rPr>
      </w:pPr>
      <w:r>
        <w:rPr>
          <w:lang w:val="el" w:eastAsia="el"/>
        </w:rPr>
        <w:t>Α. Π. Αποστολέα: Α1128 Ημ/νία Αποστολής: 16/09/2025</w:t>
      </w:r>
    </w:p>
    <w:p>
      <w:pPr>
        <w:pStyle w:val="Title"/>
        <w:spacing w:before="120" w:after="360"/>
        <w:rPr>
          <w:lang w:val="el" w:eastAsia="el"/>
        </w:rPr>
      </w:pPr>
      <w:r>
        <w:rPr>
          <w:b/>
          <w:bCs/>
          <w:lang w:val="el" w:eastAsia="el"/>
        </w:rPr>
        <w:t>ΑΔΑ: 9ΞΤΘ46ΜΠ32-Ι6Ψ</w:t>
      </w:r>
    </w:p>
    <w:p>
      <w:pPr>
        <w:pStyle w:val="Title"/>
        <w:spacing w:before="120" w:after="360"/>
        <w:rPr>
          <w:lang w:val="el" w:eastAsia="el"/>
        </w:rPr>
      </w:pPr>
      <w:r>
        <w:rPr>
          <w:b/>
          <w:bCs/>
          <w:lang w:val="el" w:eastAsia="el"/>
        </w:rPr>
        <w:t>Αριθ. Β΄4937/16.9.2025</w:t>
      </w:r>
    </w:p>
    <w:p>
      <w:pPr>
        <w:pStyle w:val="Title"/>
        <w:spacing w:before="120" w:after="360"/>
        <w:rPr>
          <w:lang w:val="el" w:eastAsia="el"/>
        </w:rPr>
      </w:pPr>
      <w:r>
        <w:rPr>
          <w:b/>
          <w:bCs/>
          <w:lang w:val="el" w:eastAsia="el"/>
        </w:rPr>
        <w:t>Αθήνα, 15.9.2025</w:t>
      </w:r>
    </w:p>
    <w:p>
      <w:pPr>
        <w:pStyle w:val="Title"/>
        <w:spacing w:before="120" w:after="360"/>
        <w:rPr>
          <w:lang w:val="el" w:eastAsia="el"/>
        </w:rPr>
      </w:pPr>
      <w:r>
        <w:rPr>
          <w:b/>
          <w:bCs/>
          <w:lang w:val="el" w:eastAsia="el"/>
        </w:rPr>
        <w:t>Α 1128</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Καθορισμός της έκτασης εφαρμογής, της έναρξης ισχύος καθώς και κάθε άλλου θέματος για την εφαρμογή της παρ. 1 του άρθρου 14 του ν.4308/2014 (ΕΛΠ) περί εκδόσεως ηλεκτρονικού τιμολογίου.</w:t>
      </w:r>
    </w:p>
    <w:p>
      <w:pPr>
        <w:spacing w:before="240" w:after="240"/>
        <w:rPr>
          <w:lang w:val="el" w:eastAsia="el"/>
        </w:rPr>
      </w:pPr>
      <w:r>
        <w:rPr>
          <w:b/>
          <w:bCs/>
          <w:lang w:val="el" w:eastAsia="el"/>
        </w:rPr>
        <w:t>ΚΟΙΝΗ ΑΠΟΦΑΣΗΟ ΥΦΥΠΟΥΡΓΟΣ ΕΘΝΙΚΗΣ ΟΙΚΟΝΟΜΙΑΣ &amp; ΟΙΚΟΝΟΜΙΚΩΝ ΚΑΙ ΟΔΙΟΙΚΗΤΗΣ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6 του άρθρου 14 του ν. 4308/2014 «Ελληνικά Λογιστικά Πρότυπα, συναφείς ρυθμίσεις και άλλες διατάξεις» (Α΄251), (εφεξής ΕΛΠ), όπως αυτή προστέθηκε με το άρθρο 239 του ν.5222/2025 (Α΄134), καθώς και των άρθρων 8, 14 και 15 των ΕΛΠ,</w:t>
      </w:r>
    </w:p>
    <w:p>
      <w:pPr>
        <w:pStyle w:val="StructureList1"/>
        <w:spacing w:before="120" w:after="0"/>
        <w:rPr>
          <w:lang w:val="el" w:eastAsia="el"/>
        </w:rPr>
      </w:pPr>
      <w:r>
        <w:rPr>
          <w:lang w:val="el" w:eastAsia="el"/>
        </w:rPr>
        <w:t>β)</w:t>
      </w:r>
      <w:r>
        <w:rPr>
          <w:lang w:val="en" w:eastAsia="en"/>
        </w:rPr>
        <w:tab/>
      </w:r>
      <w:r>
        <w:rPr>
          <w:b/>
          <w:bCs/>
          <w:lang w:val="el" w:eastAsia="el"/>
        </w:rPr>
        <w:t>του άρθρου 16 του ν.5104/2024 «Κώδικας Φορολογικής Διαδικασίας και άλλες διατάξεις», (εφεξής Κ.Φ.Δ.) (Α΄58),</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Α.1112/2025 απόφαση του Διοικητή της Ανεξάρτητης Αρχής Δημοσίων Εσόδων (ΑΑΔΕ) «Υποχρεώσεις Παρόχων Υπηρεσιών Ηλεκτρονικής Έκδοσης Στοιχείων και διαδικασίες ελέγχου παροχής υπηρεσιών ηλεκτρονικής έκδοσης στοιχείων» (Β’ 4206).</w:t>
      </w:r>
    </w:p>
    <w:p>
      <w:pPr>
        <w:spacing w:before="240" w:after="240"/>
        <w:rPr>
          <w:lang w:val="el" w:eastAsia="el"/>
        </w:rPr>
      </w:pPr>
      <w:r>
        <w:rPr>
          <w:lang w:val="el" w:eastAsia="el"/>
        </w:rPr>
        <w:t xml:space="preserve">3. </w:t>
      </w:r>
      <w:r>
        <w:rPr>
          <w:b/>
          <w:bCs/>
          <w:lang w:val="el" w:eastAsia="el"/>
        </w:rPr>
        <w:t>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lang w:val="el" w:eastAsia="el"/>
        </w:rPr>
        <w:t xml:space="preserve">4. </w:t>
      </w:r>
      <w:r>
        <w:rPr>
          <w:b/>
          <w:bCs/>
          <w:lang w:val="el" w:eastAsia="el"/>
        </w:rPr>
        <w:t>Την υπό στοιχεία Α.1258/2020 απόφαση του Διοικητή της ΑΑΔΕ «Καθορισμός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 ΣΤ’ του ν. 4172/2013, όπως ισχύει» (Β’ 5243).</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ΑΑΔΕ «Οργανισμός της Ανεξάρτητης Αρχής Δημοσίων Εσόδων (ΑΑΔΕ.)» (Β΄4738).</w:t>
      </w:r>
    </w:p>
    <w:p>
      <w:pPr>
        <w:spacing w:before="240" w:after="240"/>
        <w:rPr>
          <w:lang w:val="el" w:eastAsia="el"/>
        </w:rPr>
      </w:pPr>
      <w:r>
        <w:rPr>
          <w:lang w:val="el" w:eastAsia="el"/>
        </w:rPr>
        <w:t xml:space="preserve">6.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7.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 xml:space="preserve">8. </w:t>
      </w:r>
      <w:r>
        <w:rPr>
          <w:b/>
          <w:bCs/>
          <w:lang w:val="el" w:eastAsia="el"/>
        </w:rPr>
        <w:t>Την ανάγκη ορισμού της έκτασης εφαρμογής της υποχρεωτικής ηλεκτρονικής τιμολόγησης για τις υπόχρεες οντότητες, καθώς και την έναρξη ισχύος αυτής.</w:t>
      </w:r>
    </w:p>
    <w:p>
      <w:pPr>
        <w:spacing w:before="240" w:after="240"/>
        <w:rPr>
          <w:lang w:val="el" w:eastAsia="el"/>
        </w:rPr>
      </w:pPr>
      <w:r>
        <w:rPr>
          <w:lang w:val="el" w:eastAsia="el"/>
        </w:rPr>
        <w:t xml:space="preserve">9. </w:t>
      </w:r>
      <w:r>
        <w:rPr>
          <w:b/>
          <w:bCs/>
          <w:lang w:val="el" w:eastAsia="el"/>
        </w:rPr>
        <w:t>Το γεγονός ότι από τις διατάξεις της απόφασης αυτής δεν προκαλείται δαπάνη σε βάρος του Προϋπολογισμού της ΑΑΔΕ.</w:t>
      </w:r>
    </w:p>
    <w:p>
      <w:pPr>
        <w:spacing w:before="240" w:after="240"/>
        <w:rPr>
          <w:lang w:val="el" w:eastAsia="el"/>
        </w:rPr>
      </w:pPr>
      <w:r>
        <w:rPr>
          <w:lang w:val="el" w:eastAsia="el"/>
        </w:rPr>
        <w:t xml:space="preserve">10.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 «Μίτος».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ΕΚΤΑΣΗ ΚΑΙ ΤΡΟΠΟΣ ΕΦΑΡΜΟΓΗΣ ΤΗΣ ΥΠΟΧΡΕΩΤΙΚΗΣ ΗΛΕΚΤΡΟΝΙΚΗΣΤΙΜΟΛΟΓΗΣΗΣ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οντότητες του άρθρου 1 ΕΛΠ, υποχρεούνται, σύμφωνα με το άρθρο 8 ΕΛΠ, να εκδίδουν για κάθε πώληση αγαθών και παροχή υπηρεσιών, συμπεριλαμβανομένων των συναλλαγών κατά την έννοια των παρ. 10, 11 και 12 του ιδίου άρθρου, τιμολόγιο ή κάθε άλλο έγγραφο που περιλαμβάνει όλες τις απαιτούμενες πληροφορίες για να θεωρείται τιμολόγιο. Σύμφωνα με το άρθρο 14 ΕΛΠ το τιμολόγιο εκδίδεται αποκλειστικά ηλεκτρονικά στις κάτωθι περιπτώσεις:</w:t>
      </w:r>
    </w:p>
    <w:p>
      <w:pPr>
        <w:pStyle w:val="StructureList1"/>
        <w:spacing w:before="120" w:after="0"/>
        <w:rPr>
          <w:lang w:val="el" w:eastAsia="el"/>
        </w:rPr>
      </w:pPr>
      <w:r>
        <w:rPr>
          <w:lang w:val="el" w:eastAsia="el"/>
        </w:rPr>
        <w:t>α)</w:t>
      </w:r>
      <w:r>
        <w:rPr>
          <w:lang w:val="en" w:eastAsia="en"/>
        </w:rPr>
        <w:tab/>
      </w:r>
      <w:r>
        <w:rPr>
          <w:b/>
          <w:bCs/>
          <w:lang w:val="el" w:eastAsia="el"/>
        </w:rPr>
        <w:t>εντός της χώρας, προς οντότητα που υπόκειται στις ρυθμίσεις του ως άνω νόμου (συναλλαγές χονδρικής/B2B) ή</w:t>
      </w:r>
    </w:p>
    <w:p>
      <w:pPr>
        <w:pStyle w:val="StructureList1"/>
        <w:spacing w:before="120" w:after="0"/>
        <w:rPr>
          <w:lang w:val="el" w:eastAsia="el"/>
        </w:rPr>
      </w:pPr>
      <w:r>
        <w:rPr>
          <w:lang w:val="el" w:eastAsia="el"/>
        </w:rPr>
        <w:t>β)</w:t>
      </w:r>
      <w:r>
        <w:rPr>
          <w:lang w:val="en" w:eastAsia="en"/>
        </w:rPr>
        <w:tab/>
      </w:r>
      <w:r>
        <w:rPr>
          <w:b/>
          <w:bCs/>
          <w:lang w:val="el" w:eastAsia="el"/>
        </w:rPr>
        <w:t>προς αλλοδαπή οντότητα, σε άλλη χώρα εκτός Ευρωπαϊκής Ένωσης πλην συναλλαγών λιανικής (συναλλαγές χονδρικής με τρίτη χώρα πλην Ε.Ε./B2B) ή</w:t>
      </w:r>
    </w:p>
    <w:p>
      <w:pPr>
        <w:pStyle w:val="StructureList1"/>
        <w:spacing w:before="120" w:after="0"/>
        <w:rPr>
          <w:lang w:val="el" w:eastAsia="el"/>
        </w:rPr>
      </w:pPr>
      <w:r>
        <w:rPr>
          <w:lang w:val="el" w:eastAsia="el"/>
        </w:rPr>
        <w:t>γ)</w:t>
      </w:r>
      <w:r>
        <w:rPr>
          <w:lang w:val="en" w:eastAsia="en"/>
        </w:rPr>
        <w:tab/>
      </w:r>
      <w:r>
        <w:rPr>
          <w:b/>
          <w:bCs/>
          <w:lang w:val="el" w:eastAsia="el"/>
        </w:rPr>
        <w:t>για συναλλαγές που αφορούν στην εκτέλεση δημοσίων συμβάσεων, καθώς και στην τιμολόγηση λοιπών δαπανών φορέων της Γενικής Κυβέρνησης (B2G).</w:t>
      </w:r>
    </w:p>
    <w:p>
      <w:pPr>
        <w:pStyle w:val="MainText"/>
        <w:spacing w:before="120" w:after="0"/>
        <w:rPr>
          <w:lang w:val="el" w:eastAsia="el"/>
        </w:rPr>
      </w:pPr>
      <w:r>
        <w:rPr>
          <w:b/>
          <w:bCs/>
          <w:lang w:val="el" w:eastAsia="el"/>
        </w:rPr>
        <w:t>2.</w:t>
      </w:r>
      <w:r>
        <w:rPr>
          <w:lang w:val="el" w:eastAsia="el"/>
        </w:rPr>
        <w:t xml:space="preserve"> </w:t>
      </w:r>
      <w:r>
        <w:rPr>
          <w:b/>
          <w:bCs/>
          <w:lang w:val="el" w:eastAsia="el"/>
        </w:rPr>
        <w:t>Το ηλεκτρονικό τιμολόγιο εκδίδεται αποκλειστικά είτε μέσω χρήσης Υπηρεσιών Παρόχου για την Ηλεκτρονική Έκδοση Στοιχείων είτε μέσω χρήσης της Εφαρμογής Έκδοσης και Διαβίβασης Παραστατικών που είναι προσβάσιμη στον διαδικτυακό τόπο της ΑΑΔΕ (timologio).</w:t>
      </w:r>
    </w:p>
    <w:p>
      <w:pPr>
        <w:pStyle w:val="MainText"/>
        <w:spacing w:before="120" w:after="0"/>
        <w:rPr>
          <w:lang w:val="el" w:eastAsia="el"/>
        </w:rPr>
      </w:pPr>
      <w:r>
        <w:rPr>
          <w:b/>
          <w:bCs/>
          <w:lang w:val="el" w:eastAsia="el"/>
        </w:rPr>
        <w:t>3.</w:t>
      </w:r>
      <w:r>
        <w:rPr>
          <w:lang w:val="el" w:eastAsia="el"/>
        </w:rPr>
        <w:t xml:space="preserve"> </w:t>
      </w:r>
      <w:r>
        <w:rPr>
          <w:b/>
          <w:bCs/>
          <w:lang w:val="el" w:eastAsia="el"/>
        </w:rPr>
        <w:t>Η υποχρεωτική ηλεκτρονική τιμολόγηση για τις υπόχρεες οντότητες εφαρμόζεται σταδιακά σε δύο χρονικές περιόδους, όπως αυτές ορίζονται κατωτέρω στο άρθρο 2. Ειδικότερα:</w:t>
      </w:r>
    </w:p>
    <w:p>
      <w:pPr>
        <w:pStyle w:val="StructureList1"/>
        <w:spacing w:before="120" w:after="0"/>
        <w:rPr>
          <w:lang w:val="el" w:eastAsia="el"/>
        </w:rPr>
      </w:pPr>
      <w:r>
        <w:rPr>
          <w:lang w:val="el" w:eastAsia="el"/>
        </w:rPr>
        <w:t>α)</w:t>
      </w:r>
      <w:r>
        <w:rPr>
          <w:lang w:val="en" w:eastAsia="en"/>
        </w:rPr>
        <w:tab/>
      </w:r>
      <w:r>
        <w:rPr>
          <w:b/>
          <w:bCs/>
          <w:lang w:val="el" w:eastAsia="el"/>
        </w:rPr>
        <w:t>Στην πρώτη περίοδο εφαρμογής, εντάσσονται οι οντότητες της παρ. 1, εφόσον το ύψος των ακαθαρίστων εσόδων τους υπερβαίνει το ένα εκατομμύριο ευρώ (1.000.000 €), όπως αυτό προσδιορίζεται με βάση την υποβληθείσα, για το φορολογικό έτος 2023, δήλωση φορολογίας εισοδήματος ή για όσα νομικά πρόσωπα ή νομικές οντότητες το οικείο φορολογικό έτος δεν έληξε στις 31.12.2023, με βάση την υποβληθείσα δήλωση του φορολογικού έτους που εκκίνησε εντός του 2023.</w:t>
      </w:r>
    </w:p>
    <w:p>
      <w:pPr>
        <w:pStyle w:val="StructureList1"/>
        <w:spacing w:before="120" w:after="0"/>
        <w:rPr>
          <w:lang w:val="el" w:eastAsia="el"/>
        </w:rPr>
      </w:pPr>
      <w:r>
        <w:rPr>
          <w:lang w:val="el" w:eastAsia="el"/>
        </w:rPr>
        <w:t>β)</w:t>
      </w:r>
      <w:r>
        <w:rPr>
          <w:lang w:val="en" w:eastAsia="en"/>
        </w:rPr>
        <w:tab/>
      </w:r>
      <w:r>
        <w:rPr>
          <w:b/>
          <w:bCs/>
          <w:lang w:val="el" w:eastAsia="el"/>
        </w:rPr>
        <w:t>Στη δεύτερη περίοδο εφαρμογής εντάσσονται και οι λοιπές οντότητες της παρ. 1.</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2ΕΝΑΡΞΗ ΙΣΧΥΟΣ ΗΛΕΚΤΡΟΝΙΚΗΣ ΤΙΜΟΛΟΓΗΣΗΣ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2.2.2026 και εφεξής, οι υπόχρεες οντότητες της πρώτης περιόδου υποχρεούνται για κάθε πώληση αγαθών και παροχή υπηρεσιών των περ. α) έως γ) της παρ. 1 του άρθρου 1, συμπεριλαμβανομένων των συναλλαγών κατά την έννοια των παρ. 10, 11 και 12 του άρθρου 8 ΕΛΠ, να εκδίδουν αποκλειστικά ηλεκτρονικό τιμολόγιο.</w:t>
      </w:r>
    </w:p>
    <w:p>
      <w:pPr>
        <w:spacing w:before="240" w:after="240"/>
        <w:rPr>
          <w:lang w:val="el" w:eastAsia="el"/>
        </w:rPr>
      </w:pPr>
      <w:r>
        <w:rPr>
          <w:b/>
          <w:bCs/>
          <w:lang w:val="el" w:eastAsia="el"/>
        </w:rPr>
        <w:t>Εξαιρετικά, για την περίοδο από 2.2.2026 έως και 31.3.2026, παρέχεται η δυνατότητα σταδιακής εκπλήρωσης της ως άνω υποχρέωσης με παράλληλη χρήση και των λοιπών τρόπων έκδοσης και διαβίβασης που προβλέπονται στην υπό στοιχεία Α.1138/2020 κοινή απόφαση του Υφυπουργού Οικονομικών και του Διοικητή ΑΑΔΕ, ήτοι έκδοση και διαβίβαση μέσω των προγραμμάτων διαχείρισης επιχειρήσεων (εμπορικό /λογιστικό, ERP) ή έκδοση με χειρόγραφο ή μηχανογραφικό τρόπο και διαβίβαση μέσω της ειδικής φόρμας καταχώρησης της εφαρμογής των ηλεκτρονικών βιβλίων που είναι προσβάσιμη μέσω του διαδικτυακού τόπου της ΑΑΔΕ. Η σταδιακή εκπλήρωση της ως άνω υποχρέωσης τίθεται υπό την προϋπόθεση ότι έχει υποβληθεί εμπρόθεσμη «Δήλωση Έναρξης Ηλεκτρονικής Έκδοσης Στοιχείων» του άρθρου 6 της υπό στοιχεία Α.1112/2025 (Β’ 4206) απόφασης Διοικητή ΑΑΔΕ ή Δήλωση Χρήσης της Εφαρμογής Έκδοσης και Διαβίβασης Παραστατικών που είναι προσβάσιμη μέσω του διαδικτυακού τόπου της ΑΑΔΕ (timologio), με ημερομηνία έναρξης χρήσης των σχετικών υπηρεσιών αναφορικά με τις συναλλαγές του πρώτου εδαφίου, το αργότερο, την 2.2.2026.</w:t>
      </w:r>
    </w:p>
    <w:p>
      <w:pPr>
        <w:pStyle w:val="MainText"/>
        <w:spacing w:before="120" w:after="0"/>
        <w:rPr>
          <w:lang w:val="el" w:eastAsia="el"/>
        </w:rPr>
      </w:pPr>
      <w:r>
        <w:rPr>
          <w:b/>
          <w:bCs/>
          <w:lang w:val="el" w:eastAsia="el"/>
        </w:rPr>
        <w:t>2.</w:t>
      </w:r>
      <w:r>
        <w:rPr>
          <w:lang w:val="el" w:eastAsia="el"/>
        </w:rPr>
        <w:t xml:space="preserve"> </w:t>
      </w:r>
      <w:r>
        <w:rPr>
          <w:b/>
          <w:bCs/>
          <w:lang w:val="el" w:eastAsia="el"/>
        </w:rPr>
        <w:t>Από 1.10.2026 και εφεξής, οι υπόχρεες οντότητες της δεύτερης περιόδου υποχρεούνται να εκδίδουν αποκλειστικά ηλεκτρονικό τιμολόγιο, για κάθε πώληση αγαθών και παροχή υπηρεσιών των περ. α) έως γ) της παρ. 1 του άρθρου 1, συμπεριλαμβανομένων των συναλλαγών κατά την έννοια των παρ. 10, 11 και 12 του άρθρου 8 ΕΛΠ.</w:t>
      </w:r>
    </w:p>
    <w:p>
      <w:pPr>
        <w:spacing w:before="240" w:after="240"/>
        <w:rPr>
          <w:lang w:val="el" w:eastAsia="el"/>
        </w:rPr>
      </w:pPr>
      <w:r>
        <w:rPr>
          <w:b/>
          <w:bCs/>
          <w:lang w:val="el" w:eastAsia="el"/>
        </w:rPr>
        <w:t>Εξαιρετικά, για την περίοδο 1.10.2026 έως και 31.12.2026, παρέχεται η δυνατότητα σταδιακής εκπλήρωσης της ως άνω υποχρέωσης και παράλληλης χρήσης και των λοιπών τρόπων έκδοσης και διαβίβασης που προβλέπονται στην υπό στοιχεία Α.1138/2020 κοινή απόφαση του Υφυπουργού Οικονομικών και του Διοικητή ΑΑΔΕ, ήτοι έκδοση και διαβίβαση μέσω των προγραμμάτων διαχείρισης επιχειρήσεων (εμπορικό /λογιστικό, ERP) ή έκδοση με χειρόγραφο ή μηχανογραφικό τρόπο και διαβίβαση μέσω της ειδικής φόρμας καταχώρησης της εφαρμογής των ηλεκτρονικών βιβλίων που είναι προσβάσιμη μέσω του διαδικτυακού τόπου της ΑΑΔΕ. Η σταδιακή εκπλήρωση της ως άνω υποχρέωσης τίθεται υπό την προϋπόθεση ότι έχει υποβληθεί εμπρόθεσμη «Δήλωση Έναρξης Ηλεκτρονικής Έκδοσης Στοιχείων» του άρθρου 6 της υπό στοιχεία Α.1112/2025 (Β’ 4206) απόφασης Διοικητή ΑΑΔΕ ή Δήλωση Χρήσης της Εφαρμογής Έκδοσης και Διαβίβασης Παραστατικών που είναι προσβάσιμη μέσω του διαδικτυακού τόπου της ΑΑΔΕ (timologio), με ημερομηνία έναρξης χρήσης των σχετικών υπηρεσιών αναφορικά με τις συναλλαγές του πρώτου εδαφίου, το αργότερο, την 1.10.2026.</w:t>
      </w:r>
    </w:p>
    <w:p>
      <w:pPr>
        <w:pStyle w:val="MainText"/>
        <w:spacing w:before="120" w:after="0"/>
        <w:rPr>
          <w:lang w:val="el" w:eastAsia="el"/>
        </w:rPr>
      </w:pPr>
      <w:r>
        <w:rPr>
          <w:b/>
          <w:bCs/>
          <w:lang w:val="el" w:eastAsia="el"/>
        </w:rPr>
        <w:t>3.</w:t>
      </w:r>
      <w:r>
        <w:rPr>
          <w:lang w:val="el" w:eastAsia="el"/>
        </w:rPr>
        <w:t xml:space="preserve"> </w:t>
      </w:r>
      <w:r>
        <w:rPr>
          <w:b/>
          <w:bCs/>
          <w:lang w:val="el" w:eastAsia="el"/>
        </w:rPr>
        <w:t>Η χρήση ηλεκτρονικού τιμολογίου για τις συναλλαγές των περ. α) και γ) της παρ. 1 γίνεται, από 2.2.2026, υποχρεωτικά αποδεκτή από την οντότητα λήπτη των αγαθών ή υπηρεσιών του άρθρου 1 ΕΛΠ, που υπόκειται σε τιμολόγηση, με την επιφύλαξη όσων ορίζονται ειδικότερα στις διατάξεις για την εκτέλεση δημοσίων συμβάσεων και την τιμολόγηση λοιπών δαπανών φορέων της Γενικής Κυβέρνησης.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w:t>
      </w:r>
    </w:p>
    <w:p>
      <w:pPr>
        <w:spacing w:before="240" w:after="240"/>
        <w:rPr>
          <w:lang w:val="el" w:eastAsia="el"/>
        </w:rPr>
      </w:pPr>
      <w:r>
        <w:rPr>
          <w:b/>
          <w:bCs/>
          <w:lang w:val="el" w:eastAsia="el"/>
        </w:rPr>
        <w:t>&amp;ΟΙΚΟΝΟΜΙΚΩΝ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w:t>
      </w:r>
    </w:p>
    <w:p>
      <w:pPr>
        <w:spacing w:before="240" w:after="240"/>
        <w:rPr>
          <w:lang w:val="el" w:eastAsia="el"/>
        </w:rPr>
      </w:pPr>
      <w:r>
        <w:rPr>
          <w:b/>
          <w:bCs/>
          <w:lang w:val="el" w:eastAsia="el"/>
        </w:rPr>
        <w:t>(ΔΙ.Π.Α.Ε.Ε.)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