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9ΕΣ546ΜΠ3Ζ-ΔΦ2</w:t>
      </w:r>
    </w:p>
    <w:p>
      <w:pPr>
        <w:pStyle w:val="PreambelText"/>
        <w:spacing w:before="240" w:after="240"/>
        <w:rPr>
          <w:lang w:val="el" w:eastAsia="el"/>
        </w:rPr>
      </w:pPr>
      <w:r>
        <w:rPr>
          <w:b/>
          <w:bCs/>
          <w:lang w:val="el" w:eastAsia="el"/>
        </w:rPr>
        <w:t>Αριθ. Β΄4938/16.9.2025</w:t>
      </w:r>
    </w:p>
    <w:p>
      <w:pPr>
        <w:pStyle w:val="PreambelText"/>
        <w:spacing w:before="240" w:after="240"/>
        <w:rPr>
          <w:lang w:val="el" w:eastAsia="el"/>
        </w:rPr>
      </w:pPr>
      <w:r>
        <w:rPr>
          <w:b/>
          <w:bCs/>
          <w:lang w:val="el" w:eastAsia="el"/>
        </w:rPr>
        <w:t>Αθήνα, 16 Σεπτεμβρίου 2025</w:t>
      </w:r>
    </w:p>
    <w:p>
      <w:pPr>
        <w:pStyle w:val="PreambelText"/>
        <w:spacing w:before="240" w:after="240"/>
        <w:rPr>
          <w:lang w:val="el" w:eastAsia="el"/>
        </w:rPr>
      </w:pPr>
      <w:r>
        <w:rPr>
          <w:b/>
          <w:bCs/>
          <w:lang w:val="el" w:eastAsia="el"/>
        </w:rPr>
        <w:t>Α 1129</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 ΤΜΗΜΑ Δ΄</w:t>
      </w:r>
    </w:p>
    <w:p>
      <w:pPr>
        <w:spacing w:before="240" w:after="240"/>
        <w:rPr>
          <w:lang w:val="el" w:eastAsia="el"/>
        </w:rPr>
      </w:pPr>
      <w:r>
        <w:rPr>
          <w:b/>
          <w:bCs/>
          <w:lang w:val="el" w:eastAsia="el"/>
        </w:rPr>
        <w:t>ΙΙ. ΔΙΕΥΘΥΝΣΗ ΣΤΡΑΤΗΓΙΚΗΣ ΤΕΧΝΟΛΟΓΙΩΝ ΠΛΗΡΟΦΟΡΙΚΗΣ ΤΜΗΜΑ Δ΄</w:t>
      </w:r>
    </w:p>
    <w:p>
      <w:pPr>
        <w:spacing w:before="240" w:after="240"/>
        <w:rPr>
          <w:lang w:val="el" w:eastAsia="el"/>
        </w:rPr>
      </w:pPr>
      <w:r>
        <w:rPr>
          <w:b/>
          <w:bCs/>
          <w:lang w:val="el" w:eastAsia="el"/>
        </w:rPr>
        <w:t>ΙΙΙ.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Τηλ. : 2131410810-7</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Καθορισμός της διαδικασίας και του τρόπου υποβολής των δηλώσεων χρήσης της ηλεκτρονικής τιμολόγησης , καθώς και κάθε άλλο ειδικότερο θέμα για την εφαρμογή του άρθρου 71Θ του ν. 4172/2013 (Α΄167).</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71Θ του ν.4172/2013 «Φορολογία εισοδήματος, επείγοντα μέτρα εφαρμογής του ν. 4046/2012, του ν. 4093/2012 και του ν. 4127/2013 και άλλες διατάξεις» (Α΄167), (εφεξής ΚΦΕ), όπως αυτό προστέθηκε με το άρθρο 212 του ν.5222/2025 (Α΄134).</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8, 14 και 15 του ν. 4308/2014 «Ελληνικά Λογιστικά Πρότυπα, συναφείς ρυθμίσεις και άλλες διατάξεις» (Α΄251), (εφεξής ΕΛΠ).</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16 του ν.5104/2024 «Κώδικας Φορολογικής Διαδικασίας και άλλες διατάξεις» (Α΄58) (εφεξής ΚΦΔ.).</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spacing w:before="240" w:after="240"/>
        <w:rPr>
          <w:lang w:val="el" w:eastAsia="el"/>
        </w:rPr>
      </w:pPr>
      <w:r>
        <w:rPr>
          <w:b/>
          <w:bCs/>
          <w:lang w:val="el" w:eastAsia="el"/>
        </w:rPr>
        <w:t xml:space="preserve">2. </w:t>
      </w:r>
      <w:r>
        <w:rPr>
          <w:b/>
          <w:bCs/>
          <w:lang w:val="el" w:eastAsia="el"/>
        </w:rPr>
        <w:t>Την υπό στοιχεία Α.1128/2025 Κοινή απόφαση του Υφυπουργού Εθνικής Οικονομίας και Οικονομικών και του Διοικητή της Ανεξάρτητης Αρχής Δημοσίων Εσόδων (εφεξής ΑΑΔΕ) «Καθορισμός της έκτασης εφαρμογής, της έναρξης ισχύος καθώς και κάθε άλλου θέματος για την εφαρμογή της παρ. 1 του άρθρου 14 του ν.4308/2014 (ΕΛΠ) περί εκδόσεως ηλεκτρονικού τιμολογίου.»</w:t>
      </w:r>
    </w:p>
    <w:p>
      <w:pPr>
        <w:spacing w:before="240" w:after="240"/>
        <w:rPr>
          <w:lang w:val="el" w:eastAsia="el"/>
        </w:rPr>
      </w:pPr>
      <w:r>
        <w:rPr>
          <w:b/>
          <w:bCs/>
          <w:lang w:val="el" w:eastAsia="el"/>
        </w:rPr>
        <w:t xml:space="preserve">3. </w:t>
      </w:r>
      <w:r>
        <w:rPr>
          <w:b/>
          <w:bCs/>
          <w:lang w:val="el" w:eastAsia="el"/>
        </w:rPr>
        <w:t>Την υπό στοιχεία Α.1112/2025 απόφαση του Διοικητή της ΑΑΔΕ «Υποχρεώσεις Παρόχων Υπηρεσιών Ηλεκτρονικής Έκδοσης Στοιχείων και διαδικασίες ελέγχου παροχής υπηρεσιών ηλεκτρονικής έκδοσης στοιχείων» (Β’ 4206).</w:t>
      </w:r>
    </w:p>
    <w:p>
      <w:pPr>
        <w:spacing w:before="240" w:after="240"/>
        <w:rPr>
          <w:lang w:val="el" w:eastAsia="el"/>
        </w:rPr>
      </w:pPr>
      <w:r>
        <w:rPr>
          <w:b/>
          <w:bCs/>
          <w:lang w:val="el" w:eastAsia="el"/>
        </w:rPr>
        <w:t xml:space="preserve">4. </w:t>
      </w:r>
      <w:r>
        <w:rPr>
          <w:b/>
          <w:bCs/>
          <w:lang w:val="el" w:eastAsia="el"/>
        </w:rPr>
        <w:t>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b/>
          <w:bCs/>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6.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b/>
          <w:bCs/>
          <w:lang w:val="el" w:eastAsia="el"/>
        </w:rPr>
        <w:t xml:space="preserve">7. </w:t>
      </w:r>
      <w:r>
        <w:rPr>
          <w:b/>
          <w:bCs/>
          <w:lang w:val="el" w:eastAsia="el"/>
        </w:rPr>
        <w:t>Την ανάγκη ορισμού διαδικασίας και χρόνου υποβολής δηλώσεων χρήσης ηλεκτρονικής τιμολόγησης, καθώς και κάθε αναγκαίο θέμα για την εφαρμογή του άρθρου 71Θ ΚΦΕ.</w:t>
      </w:r>
    </w:p>
    <w:p>
      <w:pPr>
        <w:spacing w:before="240" w:after="240"/>
        <w:rPr>
          <w:lang w:val="el" w:eastAsia="el"/>
        </w:rPr>
      </w:pPr>
      <w:r>
        <w:rPr>
          <w:b/>
          <w:bCs/>
          <w:lang w:val="el" w:eastAsia="el"/>
        </w:rPr>
        <w:t xml:space="preserve">8.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 xml:space="preserve">9. </w:t>
      </w:r>
      <w:r>
        <w:rPr>
          <w:b/>
          <w:bCs/>
          <w:lang w:val="el" w:eastAsia="el"/>
        </w:rPr>
        <w:t>Το γεγονός ότι οι διατάξεις της παρούσας δεν αφορούν σε διοικητική διαδικασία για την οποία υπάρχει υποχρέωση καταχώρησης στο ΕΜΔΔ «Μίτος».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Έκταση εφαρμογής-Υπόχρεοι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οντότητες του άρθρου 1 ΕΛΠ, υποχρεούνται, σύμφωνα με το άρθρο 8 ΕΛΠ, να εκδίδουν για κάθε πώληση αγαθών και παροχή υπηρεσιών, συμπεριλαμβανομένων των συναλλαγών κατά την έννοια των παρ. 10, 11 και 12 του ιδίου άρθρου, τιμολόγιο ή κάθε άλλο έγγραφο που περιλαμβάνει όλες τις απαιτούμενες πληροφορίες για να θεωρείται τιμολόγιο, αποκλειστικά ηλεκτρονικά και σύμφωνα με τα οριζόμενα στο άρθρο 14 ΕΛΠ και στην παρ. 2 του άρθρου 1 της υπό στοιχεία Α.1128/2025 κοινής απόφασης του Υφυπουργού Εθνικής Οικονομίας και Οικονομικών και του Διοικητή ΑΑΔΕ στις κάτωθι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εντός της χώρας, προς οντότητα που υπόκειται στις ρυθμίσεις του ως άνω νόμου (συναλλαγές χονδρικής/B2B) ή</w:t>
      </w:r>
    </w:p>
    <w:p>
      <w:pPr>
        <w:pStyle w:val="StructureList1"/>
        <w:spacing w:before="120" w:after="0"/>
        <w:rPr>
          <w:lang w:val="el" w:eastAsia="el"/>
        </w:rPr>
      </w:pPr>
      <w:r>
        <w:rPr>
          <w:b/>
          <w:bCs/>
          <w:lang w:val="el" w:eastAsia="el"/>
        </w:rPr>
        <w:t>β)</w:t>
      </w:r>
      <w:r>
        <w:rPr>
          <w:b/>
          <w:bCs/>
          <w:lang w:val="en" w:eastAsia="en"/>
        </w:rPr>
        <w:tab/>
      </w:r>
      <w:r>
        <w:rPr>
          <w:b/>
          <w:bCs/>
          <w:lang w:val="el" w:eastAsia="el"/>
        </w:rPr>
        <w:t>προς αλλοδαπή οντότητα, σε άλλη χώρα εκτός Ευρωπαϊκής Ένωσης πλην συναλλαγών λιανικής (συναλλαγές χονδρικής με τρίτη χώρα πλην Ε.Ε./B2B) ή</w:t>
      </w:r>
    </w:p>
    <w:p>
      <w:pPr>
        <w:pStyle w:val="StructureList1"/>
        <w:spacing w:before="120" w:after="0"/>
        <w:rPr>
          <w:lang w:val="el" w:eastAsia="el"/>
        </w:rPr>
      </w:pPr>
      <w:r>
        <w:rPr>
          <w:b/>
          <w:bCs/>
          <w:lang w:val="el" w:eastAsia="el"/>
        </w:rPr>
        <w:t>γ)</w:t>
      </w:r>
      <w:r>
        <w:rPr>
          <w:b/>
          <w:bCs/>
          <w:lang w:val="en" w:eastAsia="en"/>
        </w:rPr>
        <w:tab/>
      </w:r>
      <w:r>
        <w:rPr>
          <w:b/>
          <w:bCs/>
          <w:lang w:val="el" w:eastAsia="el"/>
        </w:rPr>
        <w:t>για συναλλαγές που αφορούν στην εκτέλεση δημοσίων συμβάσεων, καθώς και στην τιμολόγηση λοιπών δαπανών φορέων της Γενικής Κυβέρνησης (B2G).</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Στις οντότητες της παρ. 1, οι οποίες επιλέγουν την ηλεκτρονική τιμολόγηση για την αποκλειστική έκδοση των παραστατικών τους, πριν από την έναρξη υποχρεωτικής εφαρμογής της σύμφωνα με το άρθρο 2 της υπό στοιχεία Α.1128/2025 κοινής απόφασης του Υφυπουργού Εθνικής Οικονομίας και Οικονομικών και του Διοικητή ΑΑΔΕ, παρέχονται τα κίνητρα της παρ. 1 του άρθρου 71Θ ΚΦΕ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ΚΦΕ στο έτος πραγματοποίησής της, προσαυξημένη κατά ποσοστό εκατό τοις εκατό (100%)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ΚΦΕ, προσαυξάνεται κατά ποσοστό εκατό τοις εκατό (100%) κατά το έτος πραγματοποίησής της.</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Προϋποθέσεις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κίνητρα της παρ. 2 του άρθρου 1 παρέχονται επί δαπανών που διενεργούνται από το φορολογικό έτος 2025 και επόμενα στις υπόχρεες οντότητες της πρώτης περιόδου, όπως αυτή ορίζεται με την παρ. 1 του άρθρου 2 της υπό στοιχεία Α.1128/2025 κοινής απόφασης του Υφυπουργού Εθνικής Οικονομίας και Οικονομικών και Διοικητή ΑΑΔΕ, εφόσον το αργότερο δύο (2) μήνες πριν την έναρξη ισχύος της υποχρεωτικής ηλεκτρονικής τιμολόγησης για τις εν λόγω οντότητες (2.2.2026), ήτοι το αργότερο από 1.12.2025 και εφεξής, εκδίδουν αποκλειστικά ηλεκτρονικό τιμολόγιο, είτε μέσω χρήσης Υπηρεσιών Παρόχου για την Ηλεκτρονική Έκδοση Στοιχείων, είτε μέσω χρήσης της Εφαρμογής Έκδοσης και Διαβίβασης Παραστατικών (timologio) που είναι προσβάσιμη στον διαδικτυακό τόπο της Ανεξάρτητης Αρχής Δημοσίων Εσόδων και έχουν υποβάλλει τη δήλωση που προβλέπεται στο άρθρο 3, κατά περίπτωση.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Αντίστοιχα, τα κίνητρα της παρ. 2 του άρθρου 1 παρέχονται στις υπόχρεες οντότητες της δεύτερης περιόδου, όπως αυτή ορίζεται με την παρ. 2 του άρθρου 2 της υπό στοιχεία Α.1128/2025 κοινής απόφασης του Υφυπουργού Εθνικής Οικονομίας και Οικονομικών και του Διοικητή ΑΑΔΕ, εφόσον το αργότερο δύο (2) μήνες πριν την έναρξη ισχύος της υποχρεωτικής ηλεκτρονικής τιμολόγησης για τις εν λόγω οντότητες (1.10.2026), ήτοι το αργότερο από 3.8.2026 και εφεξής εκδίδουν αποκλειστικά ηλεκτρονικό τιμολόγιο μέσω των ως άνω τρόπων και έχουν υποβάλλει τη δήλωση που προβλέπεται στο άρθρο 3, κατά περίπτωση.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κίνητρα της παρ. 2 του άρθρου 1 παρέχονται και στις υπόχρεες οντότητες της παρ. 1 του άρθρου 1, οι οποίες έχουν ήδη υποβάλει δήλωση για τη χρήση της ηλεκτρονικής τιμολόγησης μέσω Υπηρεσιών Παρόχου για την Ηλεκτρονική Έκδοση Στοιχείων και η έναρξη χρήσης αποκλειστικής ηλεκτρονικής τιμολόγησης για κάθε πώληση αγαθών και παροχή υπηρεσιών των περ. α) έως γ) της παρ. 1 του άρθρου 14 ΕΛΠ, συμπεριλαμβανομένων των συναλλαγών κατά την έννοια των παρ. 10, 11 και 12 του άρθρου 8 ΕΛΠ, έχει πραγματοποιηθεί σε χρόνο εντός του 2025 και προγενέστερο της προθεσμίας που τίθεται στην παρ. 1.</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Περιεχόμενο και χρόνος υποβολής των Δηλώσεων Χρήσης Ηλεκτρονικής Τιμολόγησης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τις υπόχρεες οντότητες της παρ.1 του άρθρου 1 που επιλέγουν να εκδίδουν ηλεκτρονικό τιμολόγιο μέσω Υπηρεσιών Παρόχου Ηλεκτρονικής Έκδοσης Στοιχείων, η δήλωση χρήσης ηλεκτρονικής τιμολόγησης της παρ. 2 του άρθρου 71Θ ΚΦΕ, υποβάλλεται σύμφωνα με την παρ.1 του άρθρου 6 της Α.1112/2025 απόφασης του Διοικητή ΑΑΔΕ και σε κάθε περίπτωση για την εφαρμογή της παρούσας απόφασης, έως και την 1.12.2025 ή την 3.8.2026 για τις υπόχρεες οντότητες της πρώτης ή της δεύτερης περιόδου αντίστοιχα.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υπόχρεες οντότητες της παρ. 1 του άρθρου 1 που επιλέγουν να εκδίδουν ηλεκτρονικό τιμολόγιο μέσω χρήσης της Εφαρμογής Έκδοσης και Διαβίβασης Παραστατικών (timologio) που είναι προσβάσιμη στον διαδικτυακό τόπο της Ανεξάρτητης Αρχής Δημοσίων Εσόδων, υποβάλουν στην ψηφιακή πύλη myAADE «Δήλωση Έναρξης Ηλεκτρονικής Έκδοσης Στοιχείων», επιλέγοντας την ένδειξη «timologio», το αργότερο εντός δέκα (10) ημερών από την ημερομηνία έναρξης χρήσης της εφαρμογής για την ηλεκτρονική έκδοση των στοιχείων και σε κάθε περίπτωση για την εφαρμογή της παρούσας απόφασης, έως και την 1.12.2025 ή την 3.8.2026 για τις υπόχρεες οντότητες της πρώτης ή της δεύτερης περιόδου αντίστοιχα.</w:t>
      </w:r>
    </w:p>
    <w:p>
      <w:pPr>
        <w:spacing w:before="240" w:after="240"/>
        <w:rPr>
          <w:lang w:val="el" w:eastAsia="el"/>
        </w:rPr>
      </w:pPr>
      <w:r>
        <w:rPr>
          <w:b/>
          <w:bCs/>
          <w:lang w:val="el" w:eastAsia="el"/>
        </w:rPr>
        <w:t xml:space="preserve">3 </w:t>
      </w:r>
      <w:r>
        <w:rPr>
          <w:b/>
          <w:bCs/>
          <w:lang w:val="el" w:eastAsia="el"/>
        </w:rPr>
        <w:t>Η «Δήλωση Έναρξης Ηλεκτρονικής Έκδοσης Στοιχείων» της παρ. 2 περιλαμβάνει υποχρεωτικά τα κάτωθι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Α.Φ.Μ. Οντότητας-Εκδότη.</w:t>
      </w:r>
    </w:p>
    <w:p>
      <w:pPr>
        <w:pStyle w:val="StructureList1"/>
        <w:spacing w:before="120" w:after="0"/>
        <w:rPr>
          <w:lang w:val="el" w:eastAsia="el"/>
        </w:rPr>
      </w:pPr>
      <w:r>
        <w:rPr>
          <w:b/>
          <w:bCs/>
          <w:lang w:val="el" w:eastAsia="el"/>
        </w:rPr>
        <w:t>β)</w:t>
      </w:r>
      <w:r>
        <w:rPr>
          <w:b/>
          <w:bCs/>
          <w:lang w:val="en" w:eastAsia="en"/>
        </w:rPr>
        <w:tab/>
      </w:r>
      <w:r>
        <w:rPr>
          <w:b/>
          <w:bCs/>
          <w:lang w:val="el" w:eastAsia="el"/>
        </w:rPr>
        <w:t>Ονοματεπώνυμο ή Επωνυμία Οντότητας-Εκδότη. γ) Ημερομηνία έναρξης ισχύος ηλεκτρονικής έκδοσης στοιχείων. δ) Επιλογή συναλλαγών για ηλεκτρονική έκδοση στοιχείων:</w:t>
      </w:r>
    </w:p>
    <w:p>
      <w:pPr>
        <w:pStyle w:val="StructureList1"/>
        <w:spacing w:before="120" w:after="0"/>
        <w:rPr>
          <w:lang w:val="el" w:eastAsia="el"/>
        </w:rPr>
      </w:pPr>
      <w:r>
        <w:rPr>
          <w:b/>
          <w:bCs/>
          <w:lang w:val="el" w:eastAsia="el"/>
        </w:rPr>
        <w:t>i)</w:t>
      </w:r>
      <w:r>
        <w:rPr>
          <w:b/>
          <w:bCs/>
          <w:lang w:val="en" w:eastAsia="en"/>
        </w:rPr>
        <w:tab/>
      </w:r>
      <w:r>
        <w:rPr>
          <w:b/>
          <w:bCs/>
          <w:lang w:val="el" w:eastAsia="el"/>
        </w:rPr>
        <w:t>Συναλλαγές χονδρικής.</w:t>
      </w:r>
    </w:p>
    <w:p>
      <w:pPr>
        <w:pStyle w:val="StructureList1"/>
        <w:spacing w:before="120" w:after="0"/>
        <w:rPr>
          <w:lang w:val="el" w:eastAsia="el"/>
        </w:rPr>
      </w:pPr>
      <w:r>
        <w:rPr>
          <w:b/>
          <w:bCs/>
          <w:lang w:val="el" w:eastAsia="el"/>
        </w:rPr>
        <w:t>ii)</w:t>
      </w:r>
      <w:r>
        <w:rPr>
          <w:b/>
          <w:bCs/>
          <w:lang w:val="en" w:eastAsia="en"/>
        </w:rPr>
        <w:tab/>
      </w:r>
      <w:r>
        <w:rPr>
          <w:b/>
          <w:bCs/>
          <w:lang w:val="el" w:eastAsia="el"/>
        </w:rPr>
        <w:t>Συναλλαγές λιανικής.</w:t>
      </w:r>
    </w:p>
    <w:p>
      <w:pPr>
        <w:pStyle w:val="StructureList1"/>
        <w:spacing w:before="120" w:after="0"/>
        <w:rPr>
          <w:lang w:val="el" w:eastAsia="el"/>
        </w:rPr>
      </w:pPr>
      <w:r>
        <w:rPr>
          <w:b/>
          <w:bCs/>
          <w:lang w:val="el" w:eastAsia="el"/>
        </w:rPr>
        <w:t>iii)</w:t>
      </w:r>
      <w:r>
        <w:rPr>
          <w:b/>
          <w:bCs/>
          <w:lang w:val="en" w:eastAsia="en"/>
        </w:rPr>
        <w:tab/>
      </w:r>
      <w:r>
        <w:rPr>
          <w:b/>
          <w:bCs/>
          <w:lang w:val="el" w:eastAsia="el"/>
        </w:rPr>
        <w:t>Συναλλαγές για εκτέλεση δημοσίων συμβάσεων και τιμολόγηση λοιπών δαπανών φορέων της Γενικής Κυβέρνησης.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Ημερομηνία υποβολής Δήλωσης (αποδίδεται αυτόματα).</w:t>
      </w:r>
    </w:p>
    <w:p>
      <w:pPr>
        <w:spacing w:before="240" w:after="240"/>
        <w:rPr>
          <w:lang w:val="el" w:eastAsia="el"/>
        </w:rPr>
      </w:pPr>
      <w:r>
        <w:rPr>
          <w:b/>
          <w:bCs/>
          <w:lang w:val="el" w:eastAsia="el"/>
        </w:rPr>
        <w:t>Με την επιτυχή υποβολή της δήλωσης, αποδίδεται μοναδικός αριθμός.</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Λοιπά Θέματα - 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υπόχρεες οντότητες της παρ. 1 του άρθρου 1 για την εκπλήρωση της υποχρέωσης έκδοσης ηλεκτρονικού τιμολογίου δύνανται να κάνουν χρήση ενός ή περισσότερων Παρόχων Ηλεκτρονικής Έκδοσης Στοιχείων, ταυτόχρονα ή ανεξάρτητα από την χρήση της Εφαρμογής Έκδοσης και Διαβίβασης Παραστατικών (timologio). Η ως άνω υποχρέωση δύναται επίσης να εκπληρώνεται αποκλειστικά με τη χρήση της εφαρμογής της ΑΑΔΕ (timologio).</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w:t>
      </w:r>
    </w:p>
    <w:p>
      <w:pPr>
        <w:spacing w:before="240" w:after="240"/>
        <w:rPr>
          <w:lang w:val="el" w:eastAsia="el"/>
        </w:rPr>
      </w:pPr>
      <w:r>
        <w:rPr>
          <w:b/>
          <w:bCs/>
          <w:lang w:val="el" w:eastAsia="el"/>
        </w:rPr>
        <w:t xml:space="preserve">2. </w:t>
      </w:r>
      <w:r>
        <w:rPr>
          <w:b/>
          <w:bCs/>
          <w:lang w:val="el" w:eastAsia="el"/>
        </w:rPr>
        <w:t>Όλες οι Δ.Ο.Υ.</w:t>
      </w:r>
    </w:p>
    <w:p>
      <w:pPr>
        <w:spacing w:before="240" w:after="240"/>
        <w:rPr>
          <w:lang w:val="el" w:eastAsia="el"/>
        </w:rPr>
      </w:pPr>
      <w:r>
        <w:rPr>
          <w:b/>
          <w:bCs/>
          <w:lang w:val="el" w:eastAsia="el"/>
        </w:rPr>
        <w:t xml:space="preserve">3. </w:t>
      </w:r>
      <w:r>
        <w:rPr>
          <w:b/>
          <w:bCs/>
          <w:lang w:val="el" w:eastAsia="el"/>
        </w:rPr>
        <w:t>Όλα τα Ελεγκτικά Κέντρα (ΕΛ.ΚΕ.)</w:t>
      </w:r>
    </w:p>
    <w:p>
      <w:pPr>
        <w:spacing w:before="240" w:after="240"/>
        <w:rPr>
          <w:lang w:val="el" w:eastAsia="el"/>
        </w:rPr>
      </w:pPr>
      <w:r>
        <w:rPr>
          <w:b/>
          <w:bCs/>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b/>
          <w:bCs/>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b/>
          <w:bCs/>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b/>
          <w:bCs/>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Όλες οι Φορολογικές Περιφέρειες</w:t>
      </w:r>
    </w:p>
    <w:p>
      <w:pPr>
        <w:spacing w:before="240" w:after="240"/>
        <w:rPr>
          <w:lang w:val="el" w:eastAsia="el"/>
        </w:rPr>
      </w:pPr>
      <w:r>
        <w:rPr>
          <w:b/>
          <w:bCs/>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Υπουργού Ψηφιακής Διακυβέρνησης</w:t>
      </w:r>
    </w:p>
    <w:p>
      <w:pPr>
        <w:spacing w:before="240" w:after="240"/>
        <w:rPr>
          <w:lang w:val="el" w:eastAsia="el"/>
        </w:rPr>
      </w:pPr>
      <w:r>
        <w:rPr>
          <w:b/>
          <w:bCs/>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b/>
          <w:bCs/>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b/>
          <w:bCs/>
          <w:lang w:val="el" w:eastAsia="el"/>
        </w:rPr>
        <w:t xml:space="preserve">8. </w:t>
      </w:r>
      <w:r>
        <w:rPr>
          <w:b/>
          <w:bCs/>
          <w:lang w:val="el" w:eastAsia="el"/>
        </w:rPr>
        <w:t>Διεύθυνση Εξυπηρέτησης (Δ.ΕΞΥ.)</w:t>
      </w:r>
    </w:p>
    <w:p>
      <w:pPr>
        <w:spacing w:before="240" w:after="240"/>
        <w:rPr>
          <w:lang w:val="el" w:eastAsia="el"/>
        </w:rPr>
      </w:pPr>
      <w:r>
        <w:rPr>
          <w:b/>
          <w:bCs/>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b/>
          <w:bCs/>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Φορολογική και Τελωνειακή Ακαδημία</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8. </w:t>
      </w:r>
      <w:r>
        <w:rPr>
          <w:b/>
          <w:bCs/>
          <w:lang w:val="el" w:eastAsia="el"/>
        </w:rPr>
        <w:t>Διεύθυνση Επιχειρησιακών Διαδικασιών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