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20/10/2025</w:t>
      </w:r>
    </w:p>
    <w:p>
      <w:pPr>
        <w:pStyle w:val="PreambelText"/>
        <w:spacing w:before="240" w:after="240"/>
        <w:rPr>
          <w:lang w:val="el" w:eastAsia="el"/>
        </w:rPr>
      </w:pPr>
      <w:r>
        <w:rPr>
          <w:lang w:val="el" w:eastAsia="el"/>
        </w:rPr>
        <w:t>Αριθμός Απόφασης: Α.1143</w:t>
      </w:r>
    </w:p>
    <w:p>
      <w:pPr>
        <w:pStyle w:val="PreambelText"/>
        <w:spacing w:before="240" w:after="240"/>
        <w:rPr>
          <w:lang w:val="el" w:eastAsia="el"/>
        </w:rPr>
      </w:pPr>
      <w:r>
        <w:rPr>
          <w:lang w:val="el" w:eastAsia="el"/>
        </w:rPr>
        <w:t>Α. Π. Αποστολέα: Α1143</w:t>
      </w:r>
    </w:p>
    <w:p>
      <w:pPr>
        <w:pStyle w:val="PreambelText"/>
        <w:spacing w:before="240" w:after="240"/>
        <w:rPr>
          <w:lang w:val="el" w:eastAsia="el"/>
        </w:rPr>
      </w:pPr>
      <w:r>
        <w:rPr>
          <w:lang w:val="el" w:eastAsia="el"/>
        </w:rPr>
        <w:t>Ημ/νία Αποστολής: 20/10/2025</w:t>
      </w:r>
    </w:p>
    <w:p>
      <w:pPr>
        <w:pStyle w:val="PreambelText"/>
        <w:spacing w:before="240" w:after="240"/>
        <w:rPr>
          <w:lang w:val="el" w:eastAsia="el"/>
        </w:rPr>
      </w:pPr>
      <w:r>
        <w:rPr>
          <w:b/>
          <w:bCs/>
          <w:lang w:val="el" w:eastAsia="el"/>
        </w:rPr>
        <w:t>ΑΔΑ: 618746ΜΠ3Ζ-9ΦΩ</w:t>
      </w:r>
    </w:p>
    <w:p>
      <w:pPr>
        <w:pStyle w:val="PreambelText"/>
        <w:spacing w:before="240" w:after="240"/>
        <w:rPr>
          <w:lang w:val="el" w:eastAsia="el"/>
        </w:rPr>
      </w:pPr>
      <w:r>
        <w:rPr>
          <w:b/>
          <w:bCs/>
          <w:lang w:val="el" w:eastAsia="el"/>
        </w:rPr>
        <w:t>Αριθ.ΦΕΚ:5643/22.10.2025</w:t>
      </w:r>
    </w:p>
    <w:p>
      <w:pPr>
        <w:pStyle w:val="PreambelText"/>
        <w:spacing w:before="240" w:after="240"/>
        <w:rPr>
          <w:lang w:val="el" w:eastAsia="el"/>
        </w:rPr>
      </w:pPr>
      <w:r>
        <w:rPr>
          <w:b/>
          <w:bCs/>
          <w:lang w:val="el" w:eastAsia="el"/>
        </w:rPr>
        <w:t>Αθήνα, 20 Οκτωβρίου 2025</w:t>
      </w:r>
    </w:p>
    <w:p>
      <w:pPr>
        <w:pStyle w:val="PreambelText"/>
        <w:spacing w:before="240" w:after="240"/>
        <w:rPr>
          <w:lang w:val="el" w:eastAsia="el"/>
        </w:rPr>
      </w:pPr>
      <w:r>
        <w:rPr>
          <w:b/>
          <w:bCs/>
          <w:lang w:val="el" w:eastAsia="el"/>
        </w:rPr>
        <w:t>A.1143</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ΣΤΡΑΤΗΓΙΚΗΣ ΤΕΧΝΟΛΟΓΙΩΝ ΠΛΗΡΟΦΟΡΙΚΗΣ</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II. </w:t>
      </w:r>
      <w:r>
        <w:rPr>
          <w:b/>
          <w:bCs/>
          <w:lang w:val="el" w:eastAsia="el"/>
        </w:rPr>
        <w:t>ΔΙΕΥΘΥΝΣΗ ΔΙΑΧΕΙΡΙΣΗΣ ΥΠΟΔΟΜΩΝ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ΙΙI.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«Καθορισμός του περιεχομένου, της διαδικασίας, του τρόπου και του χρόνου υποβολής των Δηλώσεων Αυτόματων Πωλητών, από τις υπόχρεες οντότητες του άρθρου 1 του ν.4308/2014 (Α΄251), στην Ανεξάρτητη Αρχή Δημοσίων Εσόδων για την τήρηση Μητρώου Αυτόματων Πωλητών.»</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παρ.11 του άρθρου 83, καθώς και του άρθρου 14 του Κώδικα Φορολογικής Διαδικασίας (ν. 5104/2024,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spacing w:before="240" w:after="240"/>
        <w:rPr>
          <w:lang w:val="el" w:eastAsia="el"/>
        </w:rPr>
      </w:pPr>
      <w:r>
        <w:rPr>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w:t>
      </w:r>
    </w:p>
    <w:p>
      <w:pPr>
        <w:spacing w:before="240" w:after="240"/>
        <w:rPr>
          <w:lang w:val="el" w:eastAsia="el"/>
        </w:rPr>
      </w:pPr>
      <w:r>
        <w:rPr>
          <w:b/>
          <w:bCs/>
          <w:lang w:val="el" w:eastAsia="el"/>
        </w:rPr>
        <w:t>18), σε συνδυασμό με τις διατάξεις του πρώτου εδαφίου της παρ. 10 του άρθρου 41 του ν.4389/2016, την υπ’ αρ. 39/3/30.11.2017 (Υ.Ο.Δ.Δ. 689) απόφαση του Συμβουλίου Διοίκησης της Α.Α.Δ.Ε., την υπ’ αρ. 5294ΕΞ2020/17.01.2020 (Υ.Ο.Δ.Δ. 27) απόφαση του Υπουργού Οικονομικών καθώς και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4. </w:t>
      </w:r>
      <w:r>
        <w:rPr>
          <w:b/>
          <w:bCs/>
          <w:lang w:val="el" w:eastAsia="el"/>
        </w:rPr>
        <w:t>Την ανάγκη καταγραφής του συνόλου των Αυτόματων Πωλητών, που λειτουργούν στην ελληνική επικράτεια με σκοπό την ορθή εκπλήρωση των φορολογικών υποχρεώσεων των οντοτήτων του άρθρου 1 του ν. 4308/2014 (Α΄251) που έχουν την εκμετάλλευσή τους.</w:t>
      </w:r>
    </w:p>
    <w:p>
      <w:pPr>
        <w:spacing w:before="240" w:after="240"/>
        <w:rPr>
          <w:lang w:val="el" w:eastAsia="el"/>
        </w:rPr>
      </w:pPr>
      <w:r>
        <w:rPr>
          <w:lang w:val="el" w:eastAsia="el"/>
        </w:rPr>
        <w:t xml:space="preserve">5. </w:t>
      </w:r>
      <w:r>
        <w:rPr>
          <w:b/>
          <w:bCs/>
          <w:lang w:val="el" w:eastAsia="el"/>
        </w:rPr>
        <w:t>Το γεγονός ότι με τις διατάξεις της παρούσας θεσπίζεται νέα διοικητική διαδικασία με επίσημο τίτλο «Περιεχόμενο, διαδικασία, τρόπος και χρόνος υποβολής Δηλώσεων περί Αυτόματων Πωλητών» και Μοναδικό Αριθμό Καταχώρησης (Μ.Α.Κ.) στο ΕΜΔΔ «Μίτος» “524965”».</w:t>
      </w:r>
    </w:p>
    <w:p>
      <w:pPr>
        <w:spacing w:before="240" w:after="240"/>
        <w:rPr>
          <w:lang w:val="el" w:eastAsia="el"/>
        </w:rPr>
      </w:pPr>
      <w:r>
        <w:rPr>
          <w:lang w:val="el" w:eastAsia="el"/>
        </w:rPr>
        <w:t xml:space="preserve">6.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Ορίζουμε το περιεχόμενο, τη διαδικασία, τον τρόπο και τον χρόνο υποβολής Δηλώσεων, Αυτόματων Πωλητών, από τις υπόχρεες οντότητες του άρθρου 1 του ν.4308/2014 (Α΄251), στην Ανεξάρτητη Αρχή Δημοσίων Εσόδων (ΑΑΔΕ), καθώς και τη σύσταση και τήρηση σχετικού Μητρώου Αυτόματων Πωλητών στα πληροφοριακά συστήματα της ΑΑΔΕ.</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ΟΡΙΣΜΟΙ</w:t>
      </w:r>
    </w:p>
    <w:p>
      <w:pPr>
        <w:spacing w:before="240" w:after="240"/>
        <w:rPr>
          <w:lang w:val="el" w:eastAsia="el"/>
        </w:rPr>
      </w:pPr>
      <w:r>
        <w:rPr>
          <w:b/>
          <w:bCs/>
          <w:lang w:val="el" w:eastAsia="el"/>
        </w:rPr>
        <w:t>Για τους σκοπούς της παρούσας νοούνται:</w:t>
      </w:r>
    </w:p>
    <w:p>
      <w:pPr>
        <w:pStyle w:val="MainText"/>
        <w:spacing w:before="120" w:after="0"/>
        <w:rPr>
          <w:lang w:val="el" w:eastAsia="el"/>
        </w:rPr>
      </w:pPr>
      <w:r>
        <w:rPr>
          <w:b/>
          <w:bCs/>
          <w:lang w:val="el" w:eastAsia="el"/>
        </w:rPr>
        <w:t>1.</w:t>
      </w:r>
      <w:r>
        <w:rPr>
          <w:lang w:val="el" w:eastAsia="el"/>
        </w:rPr>
        <w:t xml:space="preserve"> </w:t>
      </w:r>
      <w:r>
        <w:rPr>
          <w:b/>
          <w:bCs/>
          <w:lang w:val="el" w:eastAsia="el"/>
        </w:rPr>
        <w:t>Ως «Αυτόματος Πωλητής» νοείται κάθε μηχάνημα που πωλεί και διανέμει προϊόντα ή παρέχει υπηρεσίες σε καταναλωτές λαμβάνοντας το σχετικό αντίτιμο, αυτόματα, χωρίς την παρουσία προσωπικού.</w:t>
      </w:r>
    </w:p>
    <w:p>
      <w:pPr>
        <w:pStyle w:val="MainText"/>
        <w:spacing w:before="120" w:after="0"/>
        <w:rPr>
          <w:lang w:val="el" w:eastAsia="el"/>
        </w:rPr>
      </w:pPr>
      <w:r>
        <w:rPr>
          <w:b/>
          <w:bCs/>
          <w:lang w:val="el" w:eastAsia="el"/>
        </w:rPr>
        <w:t>2.</w:t>
      </w:r>
      <w:r>
        <w:rPr>
          <w:lang w:val="el" w:eastAsia="el"/>
        </w:rPr>
        <w:t xml:space="preserve"> </w:t>
      </w:r>
      <w:r>
        <w:rPr>
          <w:b/>
          <w:bCs/>
          <w:lang w:val="el" w:eastAsia="el"/>
        </w:rPr>
        <w:t>Ως «Εκμεταλλευτής Αυτόματου Πωλητή» νοείται κάθε οντότητα του άρθρου 1 του ν.4308/2014 (Α΄251) που ασκεί εκμετάλλευση μηχανήματος αυτόματου πωλητή, το οποίο είναι τοποθετημένο εντός ή εκτός επαγγελματικής της εγκατάστασης. Ο εκμεταλλευτής δύναται να έχει την κυριότητα ή να μισθώνει το μηχάνημα αυτόματου πωλητή.</w:t>
      </w:r>
    </w:p>
    <w:p>
      <w:pPr>
        <w:pStyle w:val="MainText"/>
        <w:spacing w:before="120" w:after="0"/>
        <w:rPr>
          <w:lang w:val="el" w:eastAsia="el"/>
        </w:rPr>
      </w:pPr>
      <w:r>
        <w:rPr>
          <w:b/>
          <w:bCs/>
          <w:lang w:val="el" w:eastAsia="el"/>
        </w:rPr>
        <w:t>3.</w:t>
      </w:r>
      <w:r>
        <w:rPr>
          <w:lang w:val="el" w:eastAsia="el"/>
        </w:rPr>
        <w:t xml:space="preserve"> </w:t>
      </w:r>
      <w:r>
        <w:rPr>
          <w:b/>
          <w:bCs/>
          <w:lang w:val="el" w:eastAsia="el"/>
        </w:rPr>
        <w:t>Ως «Μητρώο Αυτόματων Πωλητών» νοείται το Μητρώο που τηρείται στην ΑΑΔΕ και περιλαμβάνει το σύνολο των εν λειτουργία Αυτόματων Πωλητών που εκμεταλλεύεται κάθε υπόχρεη οντότητα του άρθρου 1 του ν.4308/2014 (Α΄251), οι οποίοι είναι τοποθετημένοι εντός ή εκτός επαγγελματικής της εγκατάστασης.</w:t>
      </w:r>
    </w:p>
    <w:p>
      <w:pPr>
        <w:pStyle w:val="MainText"/>
        <w:spacing w:before="120" w:after="0"/>
        <w:rPr>
          <w:lang w:val="el" w:eastAsia="el"/>
        </w:rPr>
      </w:pPr>
      <w:r>
        <w:rPr>
          <w:b/>
          <w:bCs/>
          <w:lang w:val="el" w:eastAsia="el"/>
        </w:rPr>
        <w:t>4.</w:t>
      </w:r>
      <w:r>
        <w:rPr>
          <w:lang w:val="el" w:eastAsia="el"/>
        </w:rPr>
        <w:t xml:space="preserve"> </w:t>
      </w:r>
      <w:r>
        <w:rPr>
          <w:b/>
          <w:bCs/>
          <w:lang w:val="el" w:eastAsia="el"/>
        </w:rPr>
        <w:t>Ως «Μέσο Πληρωμών» νοείται η εξατομικευμένη συσκευή και/ή σειρά διαδικασιών που χρησιμοποιείται για την εκκίνηση εντολής πληρωμής με κάρτα. Ειδικότερα περιλαμβάνονται όλες οι διαθέσιμες συσκευές, μέθοδοι και εφαρμογές που μπορούν να χρησιμοποιηθούν για την αποδοχή καρτών.</w:t>
      </w:r>
    </w:p>
    <w:p>
      <w:pPr>
        <w:pStyle w:val="MainText"/>
        <w:spacing w:before="120" w:after="0"/>
        <w:rPr>
          <w:lang w:val="el" w:eastAsia="el"/>
        </w:rPr>
      </w:pPr>
      <w:r>
        <w:rPr>
          <w:b/>
          <w:bCs/>
          <w:lang w:val="el" w:eastAsia="el"/>
        </w:rPr>
        <w:t>5.</w:t>
      </w:r>
      <w:r>
        <w:rPr>
          <w:lang w:val="el" w:eastAsia="el"/>
        </w:rPr>
        <w:t xml:space="preserve"> </w:t>
      </w:r>
      <w:r>
        <w:rPr>
          <w:b/>
          <w:bCs/>
          <w:lang w:val="el" w:eastAsia="el"/>
        </w:rPr>
        <w:t>Ως «Υπηρεσίες Άμεσης Πληρωμής» ορίζονται οι υπηρεσίες πληρωμών που επιτρέπουν τη μεταφορά πίστωσης, η οποία μπορεί να εκτελείται σε εικοσιτετράωρη βάση, οποιαδήποτε ημερολογιακή ημέρα του έτους, με άμεσο ή σχεδόν άμεσο διακανονισμό.</w:t>
      </w:r>
    </w:p>
    <w:p>
      <w:pPr>
        <w:pStyle w:val="MainText"/>
        <w:spacing w:before="120" w:after="0"/>
        <w:rPr>
          <w:lang w:val="el" w:eastAsia="el"/>
        </w:rPr>
      </w:pPr>
      <w:r>
        <w:rPr>
          <w:b/>
          <w:bCs/>
          <w:lang w:val="el" w:eastAsia="el"/>
        </w:rPr>
        <w:t>6.</w:t>
      </w:r>
      <w:r>
        <w:rPr>
          <w:lang w:val="el" w:eastAsia="el"/>
        </w:rPr>
        <w:t xml:space="preserve"> </w:t>
      </w:r>
      <w:r>
        <w:rPr>
          <w:b/>
          <w:bCs/>
          <w:lang w:val="el" w:eastAsia="el"/>
        </w:rPr>
        <w:t>Ως «Πάροχος Μέσων Πληρωμών (NSP)» νοείται το νομικό πρόσωπο που δραστηριοποιείται στην παροχή και διαχείριση τερματικών μηχανημάτων POS, καθώς και στην παροχή υπηρεσιών που περιλαμβάνουν τη σύνδεση των τερματικών POS στις υπόχρεες οντότητες του</w:t>
      </w:r>
      <w:r>
        <w:rPr>
          <w:rStyle w:val="link"/>
          <w:b/>
          <w:bCs/>
          <w:lang w:val="el" w:eastAsia="el"/>
        </w:rPr>
        <w:t xml:space="preserve"> άρθρου </w:t>
      </w:r>
      <w:r>
        <w:rPr>
          <w:rStyle w:val="link"/>
          <w:b/>
          <w:bCs/>
          <w:lang w:val="el" w:eastAsia="el"/>
        </w:rPr>
        <w:t>1</w:t>
      </w:r>
      <w:r>
        <w:rPr>
          <w:b/>
          <w:bCs/>
          <w:lang w:val="el" w:eastAsia="el"/>
        </w:rPr>
        <w:t xml:space="preserve"> του ν.</w:t>
      </w:r>
      <w:r>
        <w:rPr>
          <w:rStyle w:val="link"/>
          <w:b/>
          <w:bCs/>
          <w:lang w:val="el" w:eastAsia="el"/>
        </w:rPr>
        <w:t>4308/2014</w:t>
      </w:r>
      <w:r>
        <w:rPr>
          <w:b/>
          <w:bCs/>
          <w:lang w:val="el" w:eastAsia="el"/>
        </w:rPr>
        <w:t>, την παροχή και εγκατάσταση λογισμικού στα τερματικά, τις υπηρεσίες συντήρησης/επισκευής επί του τερματικού, καθώς και τη συλλογή και τη διόδευση συναλλαγών.</w:t>
      </w:r>
    </w:p>
    <w:p>
      <w:pPr>
        <w:pStyle w:val="Heading6"/>
        <w:spacing w:before="240" w:after="240"/>
        <w:rPr>
          <w:lang w:val="el" w:eastAsia="el"/>
        </w:rPr>
      </w:pPr>
      <w:r>
        <w:rPr>
          <w:b/>
          <w:bCs/>
          <w:lang w:val="el" w:eastAsia="el"/>
        </w:rPr>
        <w:t>ΑΡΘΡΟ 2</w:t>
      </w:r>
      <w:r>
        <w:rPr>
          <w:b/>
          <w:bCs/>
          <w:lang w:val="el" w:eastAsia="el"/>
        </w:rPr>
        <w:t xml:space="preserve"> </w:t>
      </w:r>
    </w:p>
    <w:p>
      <w:pPr>
        <w:pStyle w:val="Heading6"/>
        <w:spacing w:before="240" w:after="240"/>
        <w:rPr>
          <w:lang w:val="el" w:eastAsia="el"/>
        </w:rPr>
      </w:pPr>
      <w:r>
        <w:rPr>
          <w:b/>
          <w:bCs/>
          <w:lang w:val="el" w:eastAsia="el"/>
        </w:rPr>
        <w:t>ΕΚΤΑΣΗ ΕΦΑΡΜΟΓΗΣ – ΥΠΟΧΡΕΟΙ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Συστήνεται και τηρείται στα πληροφοριακά συστήματα της ΑΑΔΕ Μητρώο Αυτόματων Πωλητών, που συντίθεται από τις αντίστοιχες Δηλώσεις των οντοτήτων της παρ. 2 και περιλαμβάνει το σύνολο των Αυτόματων Πωλητών που βρίσκονται σε χρήση/λειτουργία.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Κάθε εκμεταλλευτής Αυτόματων Πωλητών υποχρεούται στην υποβολή Δηλώσεων του άρθρου 3 για το σύνολο των εν λειτουργία Αυτόματων Πωλητών που εκμεταλλεύεται, ανεξαρτήτως εάν αυτοί είναι τοποθετημένοι εντός ή εκτός επαγγελματικής εγκατάστασης του, με διακριτή αναφορά σε κάθε Αυτόματο Πωλητή.</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Στο πλαίσιο εφαρμογής των διατάξεων της παρούσας δεν εμπίπτουν μηχανήματα που λειτουργούν με κερματοδέκτη (κέρμα ή μάρκα) και προσφέρουν υπηρεσίες ψυχαγωγίας ή υπηρεσίες τυχερών παιγνίων (παιχνιδομηχανές και παιγνιομηχανές).</w:t>
      </w:r>
    </w:p>
    <w:p>
      <w:pPr>
        <w:pStyle w:val="Heading6"/>
        <w:spacing w:before="240" w:after="240"/>
        <w:rPr>
          <w:lang w:val="el" w:eastAsia="el"/>
        </w:rPr>
      </w:pPr>
      <w:r>
        <w:rPr>
          <w:b/>
          <w:bCs/>
          <w:lang w:val="el" w:eastAsia="el"/>
        </w:rPr>
        <w:t>ΑΡΘΡΟ 3</w:t>
      </w:r>
      <w:r>
        <w:rPr>
          <w:b/>
          <w:bCs/>
          <w:lang w:val="el" w:eastAsia="el"/>
        </w:rPr>
        <w:t xml:space="preserve"> </w:t>
      </w:r>
    </w:p>
    <w:p>
      <w:pPr>
        <w:pStyle w:val="Heading6"/>
        <w:spacing w:before="240" w:after="240"/>
        <w:rPr>
          <w:lang w:val="el" w:eastAsia="el"/>
        </w:rPr>
      </w:pPr>
      <w:r>
        <w:rPr>
          <w:b/>
          <w:bCs/>
          <w:lang w:val="el" w:eastAsia="el"/>
        </w:rPr>
        <w:t>ΠΕΡΙΕΧΟΜΕΝΟ ΚΑΙ ΧΡΟΝΟΣ ΥΠΟΒΟΛΗΣ ΤΩΝ ΔΗΛΩΣΕΩΝ ΑΥΤΟΜΑΤΩΝ ΠΩΛΗΤΩΝ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υπόχρεες οντότητες της παρ. 2 του άρθρου 2 υποχρεούνται να υποβάλλουν «Δήλωση Έναρξης Εκμετάλλευσης Αυτόματου Πωλητή», το αργότερο έως τη δέκατη (10</w:t>
      </w:r>
      <w:r>
        <w:rPr>
          <w:b/>
          <w:bCs/>
          <w:sz w:val="30"/>
          <w:szCs w:val="30"/>
          <w:vertAlign w:val="superscript"/>
          <w:lang w:val="el" w:eastAsia="el"/>
        </w:rPr>
        <w:t>η</w:t>
      </w:r>
      <w:r>
        <w:rPr>
          <w:b/>
          <w:bCs/>
          <w:lang w:val="el" w:eastAsia="el"/>
        </w:rPr>
        <w:t>) ημέρα του επόμενου μήνα από τον μήνα έναρξης εκμετάλλευσης εκάστου αυτόματου πωλητή, η οποία περιλαμβάνει κατ’ ελάχιστο τα ακόλουθα πεδία:</w:t>
      </w:r>
    </w:p>
    <w:p>
      <w:pPr>
        <w:spacing w:before="240" w:after="240"/>
        <w:rPr>
          <w:lang w:val="el" w:eastAsia="el"/>
        </w:rPr>
      </w:pPr>
      <w:r>
        <w:rPr>
          <w:b/>
          <w:bCs/>
          <w:lang w:val="el" w:eastAsia="el"/>
        </w:rPr>
        <w:t>α. ΑΦΜ της υπόχρεης Οντότητας-Εκμεταλλευτή</w:t>
      </w:r>
    </w:p>
    <w:p>
      <w:pPr>
        <w:spacing w:before="240" w:after="240"/>
        <w:rPr>
          <w:lang w:val="el" w:eastAsia="el"/>
        </w:rPr>
      </w:pPr>
      <w:r>
        <w:rPr>
          <w:b/>
          <w:bCs/>
          <w:lang w:val="el" w:eastAsia="el"/>
        </w:rPr>
        <w:t>β. Ονοματεπώνυμο ή Επωνυμία της υπόχρεης Οντότητας-Εκμεταλλευτή (συμπληρώνεται από την υπηρεσία)</w:t>
      </w:r>
    </w:p>
    <w:p>
      <w:pPr>
        <w:spacing w:before="240" w:after="240"/>
        <w:rPr>
          <w:lang w:val="el" w:eastAsia="el"/>
        </w:rPr>
      </w:pPr>
      <w:r>
        <w:rPr>
          <w:b/>
          <w:bCs/>
          <w:lang w:val="el" w:eastAsia="el"/>
        </w:rPr>
        <w:t>γ. Σειριακό αριθμό αυτόματου πωλητή</w:t>
      </w:r>
    </w:p>
    <w:p>
      <w:pPr>
        <w:spacing w:before="240" w:after="240"/>
        <w:rPr>
          <w:lang w:val="el" w:eastAsia="el"/>
        </w:rPr>
      </w:pPr>
      <w:r>
        <w:rPr>
          <w:b/>
          <w:bCs/>
          <w:lang w:val="el" w:eastAsia="el"/>
        </w:rPr>
        <w:t>δ. Μοντέλο αυτόματου πωλητή</w:t>
      </w:r>
    </w:p>
    <w:p>
      <w:pPr>
        <w:spacing w:before="240" w:after="240"/>
        <w:rPr>
          <w:lang w:val="el" w:eastAsia="el"/>
        </w:rPr>
      </w:pPr>
      <w:r>
        <w:rPr>
          <w:b/>
          <w:bCs/>
          <w:lang w:val="el" w:eastAsia="el"/>
        </w:rPr>
        <w:t>ε. Τρόπο περιέλευσης του Αυτόματου Πωλητή στην οντότητα-εκμεταλλευτή:</w:t>
      </w:r>
    </w:p>
    <w:p>
      <w:pPr>
        <w:spacing w:before="240" w:after="240"/>
        <w:rPr>
          <w:lang w:val="el" w:eastAsia="el"/>
        </w:rPr>
      </w:pPr>
      <w:r>
        <w:rPr>
          <w:b/>
          <w:bCs/>
          <w:lang w:val="el" w:eastAsia="el"/>
        </w:rPr>
        <w:t xml:space="preserve">i. </w:t>
      </w:r>
      <w:r>
        <w:rPr>
          <w:b/>
          <w:bCs/>
          <w:lang w:val="el" w:eastAsia="el"/>
        </w:rPr>
        <w:t>Κτήση: Σε περίπτωση που ο Αυτόματος Πωλητής είναι ιδιόκτητος καταχωρούνται τα κάτωθι πεδία:</w:t>
      </w:r>
    </w:p>
    <w:p>
      <w:pPr>
        <w:spacing w:before="240" w:after="240"/>
        <w:rPr>
          <w:lang w:val="el" w:eastAsia="el"/>
        </w:rPr>
      </w:pPr>
      <w:r>
        <w:rPr>
          <w:b/>
          <w:bCs/>
          <w:lang w:val="el" w:eastAsia="el"/>
        </w:rPr>
        <w:t xml:space="preserve">i.1. </w:t>
      </w:r>
      <w:r>
        <w:rPr>
          <w:b/>
          <w:bCs/>
          <w:lang w:val="el" w:eastAsia="el"/>
        </w:rPr>
        <w:t>ΑΦΜ προμηθευτή</w:t>
      </w:r>
    </w:p>
    <w:p>
      <w:pPr>
        <w:spacing w:before="240" w:after="240"/>
        <w:rPr>
          <w:lang w:val="el" w:eastAsia="el"/>
        </w:rPr>
      </w:pPr>
      <w:r>
        <w:rPr>
          <w:b/>
          <w:bCs/>
          <w:lang w:val="el" w:eastAsia="el"/>
        </w:rPr>
        <w:t xml:space="preserve">i.2. </w:t>
      </w:r>
      <w:r>
        <w:rPr>
          <w:b/>
          <w:bCs/>
          <w:lang w:val="el" w:eastAsia="el"/>
        </w:rPr>
        <w:t>Αριθμός τιμολογίου αγοράς</w:t>
      </w:r>
    </w:p>
    <w:p>
      <w:pPr>
        <w:spacing w:before="240" w:after="240"/>
        <w:rPr>
          <w:lang w:val="el" w:eastAsia="el"/>
        </w:rPr>
      </w:pPr>
      <w:r>
        <w:rPr>
          <w:b/>
          <w:bCs/>
          <w:lang w:val="el" w:eastAsia="el"/>
        </w:rPr>
        <w:t xml:space="preserve">i.3. </w:t>
      </w:r>
      <w:r>
        <w:rPr>
          <w:b/>
          <w:bCs/>
          <w:lang w:val="el" w:eastAsia="el"/>
        </w:rPr>
        <w:t>Ημερομηνία τιμολογίου αγοράς</w:t>
      </w:r>
    </w:p>
    <w:p>
      <w:pPr>
        <w:spacing w:before="240" w:after="240"/>
        <w:rPr>
          <w:lang w:val="el" w:eastAsia="el"/>
        </w:rPr>
      </w:pPr>
      <w:r>
        <w:rPr>
          <w:b/>
          <w:bCs/>
          <w:lang w:val="el" w:eastAsia="el"/>
        </w:rPr>
        <w:t xml:space="preserve">ii. </w:t>
      </w:r>
      <w:r>
        <w:rPr>
          <w:b/>
          <w:bCs/>
          <w:lang w:val="el" w:eastAsia="el"/>
        </w:rPr>
        <w:t>Μίσθωση: Σε περίπτωση που ο Αυτόματος Πωλητής είναι μισθωμένος καταχωρούνται τα κάτωθι πεδία:</w:t>
      </w:r>
    </w:p>
    <w:p>
      <w:pPr>
        <w:spacing w:before="240" w:after="240"/>
        <w:rPr>
          <w:lang w:val="el" w:eastAsia="el"/>
        </w:rPr>
      </w:pPr>
      <w:r>
        <w:rPr>
          <w:b/>
          <w:bCs/>
          <w:lang w:val="el" w:eastAsia="el"/>
        </w:rPr>
        <w:t xml:space="preserve">i.1. </w:t>
      </w:r>
      <w:r>
        <w:rPr>
          <w:b/>
          <w:bCs/>
          <w:lang w:val="el" w:eastAsia="el"/>
        </w:rPr>
        <w:t>ΑΦΜ εκμισθωτή</w:t>
      </w:r>
    </w:p>
    <w:p>
      <w:pPr>
        <w:spacing w:before="240" w:after="240"/>
        <w:rPr>
          <w:lang w:val="el" w:eastAsia="el"/>
        </w:rPr>
      </w:pPr>
      <w:r>
        <w:rPr>
          <w:b/>
          <w:bCs/>
          <w:lang w:val="el" w:eastAsia="el"/>
        </w:rPr>
        <w:t xml:space="preserve">i.2. </w:t>
      </w:r>
      <w:r>
        <w:rPr>
          <w:b/>
          <w:bCs/>
          <w:lang w:val="el" w:eastAsia="el"/>
        </w:rPr>
        <w:t>Ημερομηνία έναρξης μίσθωσης</w:t>
      </w:r>
    </w:p>
    <w:p>
      <w:pPr>
        <w:spacing w:before="240" w:after="240"/>
        <w:rPr>
          <w:lang w:val="el" w:eastAsia="el"/>
        </w:rPr>
      </w:pPr>
      <w:r>
        <w:rPr>
          <w:b/>
          <w:bCs/>
          <w:lang w:val="el" w:eastAsia="el"/>
        </w:rPr>
        <w:t>στ.Τύπο Αυτόματου Πωλητή:</w:t>
      </w:r>
    </w:p>
    <w:p>
      <w:pPr>
        <w:spacing w:before="240" w:after="240"/>
        <w:rPr>
          <w:lang w:val="el" w:eastAsia="el"/>
        </w:rPr>
      </w:pPr>
      <w:r>
        <w:rPr>
          <w:b/>
          <w:bCs/>
          <w:lang w:val="el" w:eastAsia="el"/>
        </w:rPr>
        <w:t xml:space="preserve">i. </w:t>
      </w:r>
      <w:r>
        <w:rPr>
          <w:b/>
          <w:bCs/>
          <w:lang w:val="el" w:eastAsia="el"/>
        </w:rPr>
        <w:t>Πώλησης Αγαθών</w:t>
      </w:r>
    </w:p>
    <w:p>
      <w:pPr>
        <w:spacing w:before="240" w:after="240"/>
        <w:rPr>
          <w:lang w:val="el" w:eastAsia="el"/>
        </w:rPr>
      </w:pPr>
      <w:r>
        <w:rPr>
          <w:b/>
          <w:bCs/>
          <w:lang w:val="el" w:eastAsia="el"/>
        </w:rPr>
        <w:t xml:space="preserve">ii. </w:t>
      </w:r>
      <w:r>
        <w:rPr>
          <w:b/>
          <w:bCs/>
          <w:lang w:val="el" w:eastAsia="el"/>
        </w:rPr>
        <w:t>Παροχής Υπηρεσιών</w:t>
      </w:r>
    </w:p>
    <w:p>
      <w:pPr>
        <w:spacing w:before="240" w:after="240"/>
        <w:rPr>
          <w:lang w:val="el" w:eastAsia="el"/>
        </w:rPr>
      </w:pPr>
      <w:r>
        <w:rPr>
          <w:b/>
          <w:bCs/>
          <w:lang w:val="el" w:eastAsia="el"/>
        </w:rPr>
        <w:t>ζ. Τρόπους πληρωμής που υποστηρίζει ο αυτόματος πωλητής (επιλέγονται κατά περίπτωση οι τρόποι που υποστηρίζονται):</w:t>
      </w:r>
    </w:p>
    <w:p>
      <w:pPr>
        <w:spacing w:before="240" w:after="240"/>
        <w:rPr>
          <w:lang w:val="el" w:eastAsia="el"/>
        </w:rPr>
      </w:pPr>
      <w:r>
        <w:rPr>
          <w:b/>
          <w:bCs/>
          <w:lang w:val="el" w:eastAsia="el"/>
        </w:rPr>
        <w:t xml:space="preserve">i. </w:t>
      </w:r>
      <w:r>
        <w:rPr>
          <w:b/>
          <w:bCs/>
          <w:lang w:val="el" w:eastAsia="el"/>
        </w:rPr>
        <w:t>Χρήση Μετρητών</w:t>
      </w:r>
    </w:p>
    <w:p>
      <w:pPr>
        <w:spacing w:before="240" w:after="240"/>
        <w:rPr>
          <w:lang w:val="el" w:eastAsia="el"/>
        </w:rPr>
      </w:pPr>
      <w:r>
        <w:rPr>
          <w:b/>
          <w:bCs/>
          <w:lang w:val="el" w:eastAsia="el"/>
        </w:rPr>
        <w:t xml:space="preserve">ii. </w:t>
      </w:r>
      <w:r>
        <w:rPr>
          <w:b/>
          <w:bCs/>
          <w:lang w:val="el" w:eastAsia="el"/>
        </w:rPr>
        <w:t>Χρήση Μέσων Πληρωμής με κάρτα</w:t>
      </w:r>
    </w:p>
    <w:p>
      <w:pPr>
        <w:spacing w:before="240" w:after="240"/>
        <w:rPr>
          <w:lang w:val="el" w:eastAsia="el"/>
        </w:rPr>
      </w:pPr>
      <w:r>
        <w:rPr>
          <w:b/>
          <w:bCs/>
          <w:lang w:val="el" w:eastAsia="el"/>
        </w:rPr>
        <w:t xml:space="preserve">iii. </w:t>
      </w:r>
      <w:r>
        <w:rPr>
          <w:b/>
          <w:bCs/>
          <w:lang w:val="el" w:eastAsia="el"/>
        </w:rPr>
        <w:t>Πληρωμή μέσω υπηρεσιών άμεσης πληρωμής (όπως η υπηρεσία IRIS online payments)</w:t>
      </w:r>
    </w:p>
    <w:p>
      <w:pPr>
        <w:spacing w:before="240" w:after="240"/>
        <w:rPr>
          <w:lang w:val="el" w:eastAsia="el"/>
        </w:rPr>
      </w:pPr>
      <w:r>
        <w:rPr>
          <w:b/>
          <w:bCs/>
          <w:lang w:val="el" w:eastAsia="el"/>
        </w:rPr>
        <w:t>η. Στοιχεία μέσου πληρωμής αυτόματου πωλητή {συμπληρώνεται εφόσον στο πεδίο «Τρόποι Πληρωμής» επιλεγεί η ένδειξη (ii)}:</w:t>
      </w:r>
    </w:p>
    <w:p>
      <w:pPr>
        <w:spacing w:before="240" w:after="240"/>
        <w:rPr>
          <w:lang w:val="el" w:eastAsia="el"/>
        </w:rPr>
      </w:pPr>
      <w:r>
        <w:rPr>
          <w:b/>
          <w:bCs/>
          <w:lang w:val="el" w:eastAsia="el"/>
        </w:rPr>
        <w:t xml:space="preserve">i. </w:t>
      </w:r>
      <w:r>
        <w:rPr>
          <w:b/>
          <w:bCs/>
          <w:lang w:val="el" w:eastAsia="el"/>
        </w:rPr>
        <w:t>ΑΦΜ Παρόχου Μέσων Πληρωμών (NSP) ημεδαπής</w:t>
      </w:r>
    </w:p>
    <w:p>
      <w:pPr>
        <w:spacing w:before="240" w:after="240"/>
        <w:rPr>
          <w:lang w:val="el" w:eastAsia="el"/>
        </w:rPr>
      </w:pPr>
      <w:r>
        <w:rPr>
          <w:b/>
          <w:bCs/>
          <w:lang w:val="el" w:eastAsia="el"/>
        </w:rPr>
        <w:t xml:space="preserve">ii. </w:t>
      </w:r>
      <w:r>
        <w:rPr>
          <w:b/>
          <w:bCs/>
          <w:lang w:val="el" w:eastAsia="el"/>
        </w:rPr>
        <w:t>Επωνυμία Παρόχου Μέσων Πληρωμών (NSP) ημεδαπής (συμπληρώνεται από την υπηρεσία)</w:t>
      </w:r>
    </w:p>
    <w:p>
      <w:pPr>
        <w:spacing w:before="240" w:after="240"/>
        <w:rPr>
          <w:lang w:val="el" w:eastAsia="el"/>
        </w:rPr>
      </w:pPr>
      <w:r>
        <w:rPr>
          <w:b/>
          <w:bCs/>
          <w:lang w:val="el" w:eastAsia="el"/>
        </w:rPr>
        <w:t xml:space="preserve">iii. </w:t>
      </w:r>
      <w:r>
        <w:rPr>
          <w:b/>
          <w:bCs/>
          <w:lang w:val="el" w:eastAsia="el"/>
        </w:rPr>
        <w:t>Αριθμός φορολογικού μητρώου αλλοδαπής (TIN) Παρόχου Μέσων Πληρωμών (NSP) αλλοδαπής ή άλλος λειτουργικά ισοδύναμος αριθμός ταυτοποίησης</w:t>
      </w:r>
    </w:p>
    <w:p>
      <w:pPr>
        <w:spacing w:before="240" w:after="240"/>
        <w:rPr>
          <w:lang w:val="el" w:eastAsia="el"/>
        </w:rPr>
      </w:pPr>
      <w:r>
        <w:rPr>
          <w:b/>
          <w:bCs/>
          <w:lang w:val="el" w:eastAsia="el"/>
        </w:rPr>
        <w:t xml:space="preserve">iv. </w:t>
      </w:r>
      <w:r>
        <w:rPr>
          <w:b/>
          <w:bCs/>
          <w:lang w:val="el" w:eastAsia="el"/>
        </w:rPr>
        <w:t>Επωνυμία Παρόχου Μέσων Πληρωμών (NSP) αλλοδαπής</w:t>
      </w:r>
    </w:p>
    <w:p>
      <w:pPr>
        <w:spacing w:before="240" w:after="240"/>
        <w:rPr>
          <w:lang w:val="el" w:eastAsia="el"/>
        </w:rPr>
      </w:pPr>
      <w:r>
        <w:rPr>
          <w:b/>
          <w:bCs/>
          <w:lang w:val="el" w:eastAsia="el"/>
        </w:rPr>
        <w:t xml:space="preserve">v. </w:t>
      </w:r>
      <w:r>
        <w:rPr>
          <w:b/>
          <w:bCs/>
          <w:lang w:val="el" w:eastAsia="el"/>
        </w:rPr>
        <w:t>Χώρα καταστατικής έδρας ή μόνιμης εγκατάστασης Παρόχου Μέσων Πληρωμών (NSP) αλλοδαπής</w:t>
      </w:r>
    </w:p>
    <w:p>
      <w:pPr>
        <w:spacing w:before="240" w:after="240"/>
        <w:rPr>
          <w:lang w:val="el" w:eastAsia="el"/>
        </w:rPr>
      </w:pPr>
      <w:r>
        <w:rPr>
          <w:b/>
          <w:bCs/>
          <w:lang w:val="el" w:eastAsia="el"/>
        </w:rPr>
        <w:t xml:space="preserve">vi. </w:t>
      </w:r>
      <w:r>
        <w:rPr>
          <w:b/>
          <w:bCs/>
          <w:lang w:val="el" w:eastAsia="el"/>
        </w:rPr>
        <w:t>Κωδικός Χρήστη Υπηρεσιών Πληρωμών (source Merchant ID – MID) όπως αυτός τηρείται στα συστήματα του Παρόχου Μέσων Πληρωμών (NSP)</w:t>
      </w:r>
    </w:p>
    <w:p>
      <w:pPr>
        <w:spacing w:before="240" w:after="240"/>
        <w:rPr>
          <w:lang w:val="el" w:eastAsia="el"/>
        </w:rPr>
      </w:pPr>
      <w:r>
        <w:rPr>
          <w:b/>
          <w:bCs/>
          <w:lang w:val="el" w:eastAsia="el"/>
        </w:rPr>
        <w:t xml:space="preserve">vii. </w:t>
      </w:r>
      <w:r>
        <w:rPr>
          <w:b/>
          <w:bCs/>
          <w:lang w:val="el" w:eastAsia="el"/>
        </w:rPr>
        <w:t>Αριθμός αναγνώρισης (source Terminal ID - TID acquirer) Μέσου Πληρωμών, όπως τηρείται στα συστήματα του Παρόχου Μέσων Πληρωμών (NSP) θ. Πρωτόκολλο επικοινωνίας αυτόματου πωλητή:</w:t>
      </w:r>
    </w:p>
    <w:p>
      <w:pPr>
        <w:spacing w:before="240" w:after="240"/>
        <w:rPr>
          <w:lang w:val="el" w:eastAsia="el"/>
        </w:rPr>
      </w:pPr>
      <w:r>
        <w:rPr>
          <w:b/>
          <w:bCs/>
          <w:lang w:val="el" w:eastAsia="el"/>
        </w:rPr>
        <w:t xml:space="preserve">i. </w:t>
      </w:r>
      <w:r>
        <w:rPr>
          <w:b/>
          <w:bCs/>
          <w:lang w:val="el" w:eastAsia="el"/>
        </w:rPr>
        <w:t>EXECUTIVE</w:t>
      </w:r>
    </w:p>
    <w:p>
      <w:pPr>
        <w:spacing w:before="240" w:after="240"/>
        <w:rPr>
          <w:lang w:val="el" w:eastAsia="el"/>
        </w:rPr>
      </w:pPr>
      <w:r>
        <w:rPr>
          <w:b/>
          <w:bCs/>
          <w:lang w:val="el" w:eastAsia="el"/>
        </w:rPr>
        <w:t xml:space="preserve">ii. </w:t>
      </w:r>
      <w:r>
        <w:rPr>
          <w:b/>
          <w:bCs/>
          <w:lang w:val="el" w:eastAsia="el"/>
        </w:rPr>
        <w:t>MDB/IPC</w:t>
      </w:r>
    </w:p>
    <w:p>
      <w:pPr>
        <w:spacing w:before="240" w:after="240"/>
        <w:rPr>
          <w:lang w:val="el" w:eastAsia="el"/>
        </w:rPr>
      </w:pPr>
      <w:r>
        <w:rPr>
          <w:b/>
          <w:bCs/>
          <w:lang w:val="el" w:eastAsia="el"/>
        </w:rPr>
        <w:t xml:space="preserve">iii. </w:t>
      </w:r>
      <w:r>
        <w:rPr>
          <w:b/>
          <w:bCs/>
          <w:lang w:val="el" w:eastAsia="el"/>
        </w:rPr>
        <w:t>PARALLEL</w:t>
      </w:r>
    </w:p>
    <w:p>
      <w:pPr>
        <w:spacing w:before="240" w:after="240"/>
        <w:rPr>
          <w:lang w:val="el" w:eastAsia="el"/>
        </w:rPr>
      </w:pPr>
      <w:r>
        <w:rPr>
          <w:b/>
          <w:bCs/>
          <w:lang w:val="el" w:eastAsia="el"/>
        </w:rPr>
        <w:t xml:space="preserve">iv. </w:t>
      </w:r>
      <w:r>
        <w:rPr>
          <w:b/>
          <w:bCs/>
          <w:lang w:val="el" w:eastAsia="el"/>
        </w:rPr>
        <w:t>PULSE</w:t>
      </w:r>
    </w:p>
    <w:p>
      <w:pPr>
        <w:spacing w:before="240" w:after="240"/>
        <w:rPr>
          <w:lang w:val="el" w:eastAsia="el"/>
        </w:rPr>
      </w:pPr>
      <w:r>
        <w:rPr>
          <w:b/>
          <w:bCs/>
          <w:lang w:val="el" w:eastAsia="el"/>
        </w:rPr>
        <w:t xml:space="preserve">v. </w:t>
      </w:r>
      <w:r>
        <w:rPr>
          <w:b/>
          <w:bCs/>
          <w:lang w:val="el" w:eastAsia="el"/>
        </w:rPr>
        <w:t>MARSHALL</w:t>
      </w:r>
    </w:p>
    <w:p>
      <w:pPr>
        <w:spacing w:before="240" w:after="240"/>
        <w:rPr>
          <w:lang w:val="el" w:eastAsia="el"/>
        </w:rPr>
      </w:pPr>
      <w:r>
        <w:rPr>
          <w:b/>
          <w:bCs/>
          <w:lang w:val="el" w:eastAsia="el"/>
        </w:rPr>
        <w:t xml:space="preserve">vi. </w:t>
      </w:r>
      <w:r>
        <w:rPr>
          <w:b/>
          <w:bCs/>
          <w:lang w:val="el" w:eastAsia="el"/>
        </w:rPr>
        <w:t>CCTALK</w:t>
      </w:r>
    </w:p>
    <w:p>
      <w:pPr>
        <w:spacing w:before="240" w:after="240"/>
        <w:rPr>
          <w:lang w:val="el" w:eastAsia="el"/>
        </w:rPr>
      </w:pPr>
      <w:r>
        <w:rPr>
          <w:b/>
          <w:bCs/>
          <w:lang w:val="el" w:eastAsia="el"/>
        </w:rPr>
        <w:t xml:space="preserve">vii. </w:t>
      </w:r>
      <w:r>
        <w:rPr>
          <w:b/>
          <w:bCs/>
          <w:lang w:val="el" w:eastAsia="el"/>
        </w:rPr>
        <w:t>Άλλο</w:t>
      </w:r>
    </w:p>
    <w:p>
      <w:pPr>
        <w:spacing w:before="240" w:after="240"/>
        <w:rPr>
          <w:lang w:val="el" w:eastAsia="el"/>
        </w:rPr>
      </w:pPr>
      <w:r>
        <w:rPr>
          <w:b/>
          <w:bCs/>
          <w:lang w:val="el" w:eastAsia="el"/>
        </w:rPr>
        <w:t>ι. Χώρο τοποθέτησης του Αυτόματου Πωλητή:</w:t>
      </w:r>
    </w:p>
    <w:p>
      <w:pPr>
        <w:spacing w:before="240" w:after="240"/>
        <w:rPr>
          <w:lang w:val="el" w:eastAsia="el"/>
        </w:rPr>
      </w:pPr>
      <w:r>
        <w:rPr>
          <w:b/>
          <w:bCs/>
          <w:lang w:val="el" w:eastAsia="el"/>
        </w:rPr>
        <w:t xml:space="preserve">i. </w:t>
      </w:r>
      <w:r>
        <w:rPr>
          <w:b/>
          <w:bCs/>
          <w:lang w:val="el" w:eastAsia="el"/>
        </w:rPr>
        <w:t>Εγκατάσταση Οντότητας-Εκμεταλλευτή</w:t>
      </w:r>
    </w:p>
    <w:p>
      <w:pPr>
        <w:spacing w:before="240" w:after="240"/>
        <w:rPr>
          <w:lang w:val="el" w:eastAsia="el"/>
        </w:rPr>
      </w:pPr>
      <w:r>
        <w:rPr>
          <w:b/>
          <w:bCs/>
          <w:lang w:val="el" w:eastAsia="el"/>
        </w:rPr>
        <w:t xml:space="preserve">ii. </w:t>
      </w:r>
      <w:r>
        <w:rPr>
          <w:b/>
          <w:bCs/>
          <w:lang w:val="el" w:eastAsia="el"/>
        </w:rPr>
        <w:t>Εγκατάσταση Τρίτης Οντότητας</w:t>
      </w:r>
    </w:p>
    <w:p>
      <w:pPr>
        <w:spacing w:before="240" w:after="240"/>
        <w:rPr>
          <w:lang w:val="el" w:eastAsia="el"/>
        </w:rPr>
      </w:pPr>
      <w:r>
        <w:rPr>
          <w:b/>
          <w:bCs/>
          <w:lang w:val="el" w:eastAsia="el"/>
        </w:rPr>
        <w:t xml:space="preserve">iii. </w:t>
      </w:r>
      <w:r>
        <w:rPr>
          <w:b/>
          <w:bCs/>
          <w:lang w:val="el" w:eastAsia="el"/>
        </w:rPr>
        <w:t>Δημόσιος χώρος</w:t>
      </w:r>
    </w:p>
    <w:p>
      <w:pPr>
        <w:spacing w:before="240" w:after="240"/>
        <w:rPr>
          <w:lang w:val="el" w:eastAsia="el"/>
        </w:rPr>
      </w:pPr>
      <w:r>
        <w:rPr>
          <w:b/>
          <w:bCs/>
          <w:lang w:val="el" w:eastAsia="el"/>
        </w:rPr>
        <w:t>ια. Διεύθυνση τοποθέτησης του αυτόματου πωλητή (Οδός, Αριθμός, ΤΚ, Δήμος, Νομός)</w:t>
      </w:r>
    </w:p>
    <w:p>
      <w:pPr>
        <w:spacing w:before="240" w:after="240"/>
        <w:rPr>
          <w:lang w:val="el" w:eastAsia="el"/>
        </w:rPr>
      </w:pPr>
      <w:r>
        <w:rPr>
          <w:b/>
          <w:bCs/>
          <w:lang w:val="el" w:eastAsia="el"/>
        </w:rPr>
        <w:t>ιβ. ΑΦΜ της οντότητας στην εγκατάσταση της οποίας τοποθετείται ο αυτόματος πωλητής ή ο ΑΦΜ του αδειοδοτούντος σε περίπτωση τοποθέτησης σε δημόσιο χώρο (π.χ. Δήμος) ιγ. Ονοματεπώνυμο ή Επωνυμία της οντότητας που τοποθετείται ο Αυτόματος Πωλητής (συμπληρώνεται από την υπηρεσία)</w:t>
      </w:r>
    </w:p>
    <w:p>
      <w:pPr>
        <w:spacing w:before="240" w:after="240"/>
        <w:rPr>
          <w:lang w:val="el" w:eastAsia="el"/>
        </w:rPr>
      </w:pPr>
      <w:r>
        <w:rPr>
          <w:b/>
          <w:bCs/>
          <w:lang w:val="el" w:eastAsia="el"/>
        </w:rPr>
        <w:t>Τα πεδία ιβ΄και ιγ΄συμπληρώνονται στην περίπτωση τοποθέτησης του αυτόματου πωλητή εκτός εγκατάστασης της Οντότητας-Εκμεταλλευτή (σε εγκατάσταση τρίτης οντότητας ή σε δημόσιο χώρο).</w:t>
      </w:r>
    </w:p>
    <w:p>
      <w:pPr>
        <w:spacing w:before="240" w:after="240"/>
        <w:rPr>
          <w:lang w:val="el" w:eastAsia="el"/>
        </w:rPr>
      </w:pPr>
      <w:r>
        <w:rPr>
          <w:b/>
          <w:bCs/>
          <w:lang w:val="el" w:eastAsia="el"/>
        </w:rPr>
        <w:t>ιδ. Ημερομηνία έναρξης Εκμετάλλευσης του Αυτόματου Πωλητή ιε. Ημερομηνία υποβολής Δήλωσης (αποδίδεται αυτόματα)</w:t>
      </w:r>
    </w:p>
    <w:p>
      <w:pPr>
        <w:spacing w:before="240" w:after="240"/>
        <w:rPr>
          <w:lang w:val="el" w:eastAsia="el"/>
        </w:rPr>
      </w:pPr>
      <w:r>
        <w:rPr>
          <w:b/>
          <w:bCs/>
          <w:lang w:val="el" w:eastAsia="el"/>
        </w:rPr>
        <w:t>Με την επιτυχή υποβολή της εκάστοτε δήλωσης, αποδίδεται μοναδικός αριθμός.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μεταβολής της δήλωσης της παρ. 1, η Οντότητα-Εκμεταλλευτής υποχρεούται να υποβάλει «Δήλωση Μεταβολής Εκμετάλλευσης Αυτόματου Πωλητή» το αργότερο έως την δέκατη (10</w:t>
      </w:r>
      <w:r>
        <w:rPr>
          <w:b/>
          <w:bCs/>
          <w:sz w:val="30"/>
          <w:szCs w:val="30"/>
          <w:vertAlign w:val="superscript"/>
          <w:lang w:val="el" w:eastAsia="el"/>
        </w:rPr>
        <w:t>η</w:t>
      </w:r>
      <w:r>
        <w:rPr>
          <w:b/>
          <w:bCs/>
          <w:lang w:val="el" w:eastAsia="el"/>
        </w:rPr>
        <w:t>) ημέρα του επόμενου μήνα από τον μήνα μεταβολής αυτής, η οποία περιλαμβάνει κατ’ ελάχιστο τα ακόλουθα πεδία:</w:t>
      </w:r>
    </w:p>
    <w:p>
      <w:pPr>
        <w:spacing w:before="240" w:after="240"/>
        <w:rPr>
          <w:lang w:val="el" w:eastAsia="el"/>
        </w:rPr>
      </w:pPr>
      <w:r>
        <w:rPr>
          <w:b/>
          <w:bCs/>
          <w:lang w:val="el" w:eastAsia="el"/>
        </w:rPr>
        <w:t>α. ΑΦΜ της υπόχρεης Οντότητας-Εκμεταλλευτή</w:t>
      </w:r>
    </w:p>
    <w:p>
      <w:pPr>
        <w:spacing w:before="240" w:after="240"/>
        <w:rPr>
          <w:lang w:val="el" w:eastAsia="el"/>
        </w:rPr>
      </w:pPr>
      <w:r>
        <w:rPr>
          <w:b/>
          <w:bCs/>
          <w:lang w:val="el" w:eastAsia="el"/>
        </w:rPr>
        <w:t>β. Ονοματεπώνυμο ή Επωνυμία της υπόχρεης Οντότητας-Εκμεταλλευτή (συμπληρώνεται από την υπηρεσία)</w:t>
      </w:r>
    </w:p>
    <w:p>
      <w:pPr>
        <w:spacing w:before="240" w:after="240"/>
        <w:rPr>
          <w:lang w:val="el" w:eastAsia="el"/>
        </w:rPr>
      </w:pPr>
      <w:r>
        <w:rPr>
          <w:b/>
          <w:bCs/>
          <w:lang w:val="el" w:eastAsia="el"/>
        </w:rPr>
        <w:t>γ. Μοναδικό αριθμό δήλωσης Έναρξης Εκμετάλλευσης (πεδίο αναφοράς)</w:t>
      </w:r>
    </w:p>
    <w:p>
      <w:pPr>
        <w:spacing w:before="240" w:after="240"/>
        <w:rPr>
          <w:lang w:val="el" w:eastAsia="el"/>
        </w:rPr>
      </w:pPr>
      <w:r>
        <w:rPr>
          <w:b/>
          <w:bCs/>
          <w:lang w:val="el" w:eastAsia="el"/>
        </w:rPr>
        <w:t>δ. Ημερομηνία μεταβολής</w:t>
      </w:r>
    </w:p>
    <w:p>
      <w:pPr>
        <w:spacing w:before="240" w:after="240"/>
        <w:rPr>
          <w:lang w:val="el" w:eastAsia="el"/>
        </w:rPr>
      </w:pPr>
      <w:r>
        <w:rPr>
          <w:b/>
          <w:bCs/>
          <w:lang w:val="el" w:eastAsia="el"/>
        </w:rPr>
        <w:t>ε. Ημερομηνία υποβολής Δήλωσης (αποδίδεται αυτόματα)</w:t>
      </w:r>
    </w:p>
    <w:p>
      <w:pPr>
        <w:spacing w:before="240" w:after="240"/>
        <w:rPr>
          <w:lang w:val="el" w:eastAsia="el"/>
        </w:rPr>
      </w:pPr>
      <w:r>
        <w:rPr>
          <w:b/>
          <w:bCs/>
          <w:lang w:val="el" w:eastAsia="el"/>
        </w:rPr>
        <w:t>Με την επιτυχή υποβολή της δήλωσης, αποδίδεται μοναδικός αριθμός.</w:t>
      </w:r>
    </w:p>
    <w:p>
      <w:pPr>
        <w:spacing w:before="240" w:after="240"/>
        <w:rPr>
          <w:lang w:val="el" w:eastAsia="el"/>
        </w:rPr>
      </w:pPr>
      <w:r>
        <w:rPr>
          <w:b/>
          <w:bCs/>
          <w:lang w:val="el" w:eastAsia="el"/>
        </w:rPr>
        <w:t>Επιτρέπεται η τροποποίηση των δεδομένων των πεδίων της “Δήλωσης Έναρξης Εκμετάλλευσης Αυτόματων Πωλητών” της παρ. 1, που αναφέρονται στις περ. ζ) έως και ιγ).</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παύσης εκμετάλλευσης/χρήσης του αυτόματου πωλητή η Οντότητα- Εκμεταλλευτής υποχρεούται να υποβάλει «Δήλωση Διακοπής Εκμετάλλευσης Αυτόματου Πωλητή» το αργότερο έως τη δέκατη (10</w:t>
      </w:r>
      <w:r>
        <w:rPr>
          <w:b/>
          <w:bCs/>
          <w:sz w:val="30"/>
          <w:szCs w:val="30"/>
          <w:vertAlign w:val="superscript"/>
          <w:lang w:val="el" w:eastAsia="el"/>
        </w:rPr>
        <w:t>η</w:t>
      </w:r>
      <w:r>
        <w:rPr>
          <w:b/>
          <w:bCs/>
          <w:lang w:val="el" w:eastAsia="el"/>
        </w:rPr>
        <w:t>) ημέρα του επόμενου μήνα από τον μήνα παύσης της εκμετάλλευσης αυτού.</w:t>
      </w:r>
    </w:p>
    <w:p>
      <w:pPr>
        <w:spacing w:before="240" w:after="240"/>
        <w:rPr>
          <w:lang w:val="el" w:eastAsia="el"/>
        </w:rPr>
      </w:pPr>
      <w:r>
        <w:rPr>
          <w:b/>
          <w:bCs/>
          <w:lang w:val="el" w:eastAsia="el"/>
        </w:rPr>
        <w:t>Η «Δήλωση Διακοπής Εκμετάλλευσης Αυτόματου Πωλητή» περιλαμβάνει κατ’ ελάχιστο τα ακόλουθα πεδία:</w:t>
      </w:r>
    </w:p>
    <w:p>
      <w:pPr>
        <w:spacing w:before="240" w:after="240"/>
        <w:rPr>
          <w:lang w:val="el" w:eastAsia="el"/>
        </w:rPr>
      </w:pPr>
      <w:r>
        <w:rPr>
          <w:b/>
          <w:bCs/>
          <w:lang w:val="el" w:eastAsia="el"/>
        </w:rPr>
        <w:t>α. ΑΦΜ της υπόχρεης Οντότητας-Εκμεταλλευτή</w:t>
      </w:r>
    </w:p>
    <w:p>
      <w:pPr>
        <w:spacing w:before="240" w:after="240"/>
        <w:rPr>
          <w:lang w:val="el" w:eastAsia="el"/>
        </w:rPr>
      </w:pPr>
      <w:r>
        <w:rPr>
          <w:b/>
          <w:bCs/>
          <w:lang w:val="el" w:eastAsia="el"/>
        </w:rPr>
        <w:t>β. Ονοματεπώνυμο ή Επωνυμία της υπόχρεης Οντότητας-Εκμεταλλευτή (συμπληρώνεται από την υπηρεσία)</w:t>
      </w:r>
    </w:p>
    <w:p>
      <w:pPr>
        <w:spacing w:before="240" w:after="240"/>
        <w:rPr>
          <w:lang w:val="el" w:eastAsia="el"/>
        </w:rPr>
      </w:pPr>
      <w:r>
        <w:rPr>
          <w:b/>
          <w:bCs/>
          <w:lang w:val="el" w:eastAsia="el"/>
        </w:rPr>
        <w:t>γ. Μοναδικό αριθμό δήλωσης Έναρξης Εκμετάλλευσης (πεδίο αναφοράς)</w:t>
      </w:r>
    </w:p>
    <w:p>
      <w:pPr>
        <w:spacing w:before="240" w:after="240"/>
        <w:rPr>
          <w:lang w:val="el" w:eastAsia="el"/>
        </w:rPr>
      </w:pPr>
      <w:r>
        <w:rPr>
          <w:b/>
          <w:bCs/>
          <w:lang w:val="el" w:eastAsia="el"/>
        </w:rPr>
        <w:t>δ. Ημερομηνία παύσης εκμετάλλευσης χρήσης του αυτόματου πωλητή</w:t>
      </w:r>
    </w:p>
    <w:p>
      <w:pPr>
        <w:spacing w:before="240" w:after="240"/>
        <w:rPr>
          <w:lang w:val="el" w:eastAsia="el"/>
        </w:rPr>
      </w:pPr>
      <w:r>
        <w:rPr>
          <w:b/>
          <w:bCs/>
          <w:lang w:val="el" w:eastAsia="el"/>
        </w:rPr>
        <w:t>ε. Ημερομηνία υποβολής Δήλωσης (αποδίδεται αυτόματα)</w:t>
      </w:r>
    </w:p>
    <w:p>
      <w:pPr>
        <w:spacing w:before="240" w:after="240"/>
        <w:rPr>
          <w:lang w:val="el" w:eastAsia="el"/>
        </w:rPr>
      </w:pPr>
      <w:r>
        <w:rPr>
          <w:b/>
          <w:bCs/>
          <w:lang w:val="el" w:eastAsia="el"/>
        </w:rPr>
        <w:t>Με την επιτυχή υποβολή της δήλωσης, αποδίδεται μοναδικός αριθμός.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Κάθε Δήλωση που αφορά είτε σε έναρξη εκμετάλλευσης/χρήσης Αυτόματων Πωλητών είτε σε μεταβολή στοιχείων επί δηλωθέντων Αυτόματων Πωλητών είτε σε παύση εκμετάλλευσης αυτών, τηρείται διακριτά στο Μητρώο Αυτόματων Πωλητών.</w:t>
      </w:r>
    </w:p>
    <w:p>
      <w:pPr>
        <w:pStyle w:val="Heading6"/>
        <w:spacing w:before="240" w:after="240"/>
        <w:rPr>
          <w:lang w:val="el" w:eastAsia="el"/>
        </w:rPr>
      </w:pPr>
      <w:r>
        <w:rPr>
          <w:b/>
          <w:bCs/>
          <w:lang w:val="el" w:eastAsia="el"/>
        </w:rPr>
        <w:t>ΑΡΘΡΟ 4</w:t>
      </w:r>
      <w:r>
        <w:rPr>
          <w:b/>
          <w:bCs/>
          <w:lang w:val="el" w:eastAsia="el"/>
        </w:rPr>
        <w:t xml:space="preserve"> </w:t>
      </w:r>
    </w:p>
    <w:p>
      <w:pPr>
        <w:pStyle w:val="Heading6"/>
        <w:spacing w:before="240" w:after="240"/>
        <w:rPr>
          <w:lang w:val="el" w:eastAsia="el"/>
        </w:rPr>
      </w:pPr>
      <w:r>
        <w:rPr>
          <w:b/>
          <w:bCs/>
          <w:lang w:val="el" w:eastAsia="el"/>
        </w:rPr>
        <w:t>ΛΟΙΠΑ ΘΕΜΑΤΑ – ΕΝΑΡΞΗ ΙΣΧΥΟΣ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υπόχρεες οντότητες της παρ. 2 του άρθρου 2 έχουν υποχρέωση να υποβάλλουν τη «Δήλωση Έναρξης Εκμετάλλευσης Αυτόματου Πωλητή» της παρ. 1 του άρθρου 3, για το σύνολο των αυτόματων πωλητών που εκμεταλλεύονται κατά τον χρόνο δημοσίευσης της παρούσας, από 14/11/2025 έως και την 12/12/2025.</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τις περιπτώσεις έναρξης εκμετάλλευσης/μεταβολής στοιχείων/παύσης εκμετάλλευσης αυτόματου πωλητή που λαμβάνει χώρα το χρονικό διάστημα από τη δημοσίευση της παρούσας έως και την 30/11/2025, οι σχετικές δηλώσεις υποβάλλονται έως και την 12/01/2026.</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Επιτρέπεται η ακύρωση της «Δήλωσης Έναρξης Εκμετάλλευσης Αυτόματου Πωλητή» της παρ.</w:t>
      </w:r>
    </w:p>
    <w:p>
      <w:pPr>
        <w:spacing w:before="240" w:after="240"/>
        <w:rPr>
          <w:lang w:val="el" w:eastAsia="el"/>
        </w:rPr>
      </w:pPr>
      <w:r>
        <w:rPr>
          <w:b/>
          <w:bCs/>
          <w:lang w:val="el" w:eastAsia="el"/>
        </w:rPr>
        <w:t>1 του άρθρου 3, εφόσον δεν έχει υποβληθεί δήλωση Μεταβολής ή Διακοπής Εκμετάλλευσης του αυτόματου πωλητή. Σε περίπτωση ακύρωσης λόγω διόρθωσης των δεδομένων της δήλωσης Έναρξης Εκμετάλλευσης {πεδία α) έως και στ) και ιδ) της παρ.1 του άρθρου 3}, τότε τα ορθά στοιχεία καταχωρούνται εκ νέου και η νεότερη δήλωση αφενός λαμβάνει διαφορετικό Μοναδικό Αριθμό και αφετέρου συσχετίζεται με την ακυρωθείσα. Σε κάθε περίπτωση διατηρείται η ιστορικότητα των δηλώσεων.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Κάθε εγγραφή αυτόματου πωλητή στο Μητρώο συνιστά υποβολή πληροφοριακής δήλωσης. Κάθε εκπρόθεσμη εγγραφή θεωρείται ως εκπρόθεσμη υποβολή πληροφοριακής δήλωσης, κάθε ελλιπής εγγραφή ως ελλιπής υποβολή πληροφοριακής δήλωσης και κάθε μη εγγραφή ως παράλειψη υποβολής πληροφοριακής δήλωσης. Οι παραβάσεις του δεύτερου εδαφίου επισύρουν τις κυρώσεις των διατάξεων της περ. α) της </w:t>
      </w:r>
      <w:r>
        <w:rPr>
          <w:rStyle w:val="link"/>
          <w:b/>
          <w:bCs/>
          <w:lang w:val="el" w:eastAsia="el"/>
        </w:rPr>
        <w:t xml:space="preserve">παρ. </w:t>
      </w:r>
      <w:r>
        <w:rPr>
          <w:rStyle w:val="link"/>
          <w:b/>
          <w:bCs/>
          <w:lang w:val="el" w:eastAsia="el"/>
        </w:rPr>
        <w:t>1</w:t>
      </w:r>
      <w:r>
        <w:rPr>
          <w:b/>
          <w:bCs/>
          <w:lang w:val="el" w:eastAsia="el"/>
        </w:rPr>
        <w:t xml:space="preserve"> του</w:t>
      </w:r>
      <w:r>
        <w:rPr>
          <w:rStyle w:val="link"/>
          <w:b/>
          <w:bCs/>
          <w:lang w:val="el" w:eastAsia="el"/>
        </w:rPr>
        <w:t xml:space="preserve"> άρθρου </w:t>
      </w:r>
      <w:r>
        <w:rPr>
          <w:rStyle w:val="link"/>
          <w:b/>
          <w:bCs/>
          <w:lang w:val="el" w:eastAsia="el"/>
        </w:rPr>
        <w:t xml:space="preserve">53 </w:t>
      </w:r>
      <w:r>
        <w:rPr>
          <w:b/>
          <w:bCs/>
          <w:lang w:val="el" w:eastAsia="el"/>
        </w:rPr>
        <w:t>του ΚΦΔ.</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υποβολή των δηλώσεων του άρθρου 3 πραγματοποιείται είτε μέσω διεπαφής (API) είτε μέσω της ψηφιακής πύλης της ΑΑΔΕ (myAADE).</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Οι προδιαγραφές των αρχείων και ο τρόπος διαβίβασής τους αναρτώνται έγκαιρα στην ιστοσελίδα της ΑΑΔΕ.</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Β’,Γ’</w:t>
      </w:r>
    </w:p>
    <w:p>
      <w:pPr>
        <w:spacing w:before="240" w:after="240"/>
        <w:rPr>
          <w:lang w:val="el" w:eastAsia="el"/>
        </w:rPr>
      </w:pPr>
      <w:r>
        <w:rPr>
          <w:b/>
          <w:bCs/>
          <w:lang w:val="el" w:eastAsia="el"/>
        </w:rPr>
        <w:t xml:space="preserve">3. </w:t>
      </w:r>
      <w:r>
        <w:rPr>
          <w:b/>
          <w:bCs/>
          <w:lang w:val="el" w:eastAsia="el"/>
        </w:rPr>
        <w:t>ΔΙ.Σ.ΤΕ.ΠΛ.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 xml:space="preserve">4. </w:t>
      </w:r>
      <w:r>
        <w:rPr>
          <w:b/>
          <w:bCs/>
          <w:lang w:val="el" w:eastAsia="el"/>
        </w:rPr>
        <w:t>Αποδέκτες πίνακα Ζ’, Η΄, ΙΑ’ (εκτός από τα υποθηκοφυλακεία),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b/>
          <w:bCs/>
          <w:lang w:val="el" w:eastAsia="el"/>
        </w:rPr>
        <w:t xml:space="preserve">3. </w:t>
      </w:r>
      <w:r>
        <w:rPr>
          <w:b/>
          <w:bCs/>
          <w:lang w:val="el" w:eastAsia="el"/>
        </w:rPr>
        <w:t>Γραφείο Προϊσταμένου Γενικής Διεύθυνσης Φορολογικών Λειτουργιών</w:t>
      </w:r>
    </w:p>
    <w:p>
      <w:pPr>
        <w:spacing w:before="240" w:after="240"/>
        <w:rPr>
          <w:lang w:val="el" w:eastAsia="el"/>
        </w:rPr>
      </w:pPr>
      <w:r>
        <w:rPr>
          <w:b/>
          <w:bCs/>
          <w:lang w:val="el" w:eastAsia="el"/>
        </w:rPr>
        <w:t xml:space="preserve">4. </w:t>
      </w:r>
      <w:r>
        <w:rPr>
          <w:b/>
          <w:bCs/>
          <w:lang w:val="el" w:eastAsia="el"/>
        </w:rPr>
        <w:t>Γραφείο Προϊσταμένης Γενικής Διεύθυνσης Ηλεκτρονικής Διακυβέρνησης</w:t>
      </w:r>
    </w:p>
    <w:p>
      <w:pPr>
        <w:spacing w:before="240" w:after="240"/>
        <w:rPr>
          <w:lang w:val="el" w:eastAsia="el"/>
        </w:rPr>
      </w:pPr>
      <w:r>
        <w:rPr>
          <w:b/>
          <w:bCs/>
          <w:lang w:val="el" w:eastAsia="el"/>
        </w:rPr>
        <w:t xml:space="preserve">5. </w:t>
      </w:r>
      <w:r>
        <w:rPr>
          <w:b/>
          <w:bCs/>
          <w:lang w:val="el" w:eastAsia="el"/>
        </w:rPr>
        <w:t>Διεύθυνση Επικοινωνίας</w:t>
      </w:r>
    </w:p>
    <w:p>
      <w:pPr>
        <w:spacing w:before="240" w:after="240"/>
        <w:rPr>
          <w:lang w:val="el" w:eastAsia="el"/>
        </w:rPr>
      </w:pPr>
      <w:r>
        <w:rPr>
          <w:b/>
          <w:bCs/>
          <w:lang w:val="el" w:eastAsia="el"/>
        </w:rPr>
        <w:t xml:space="preserve">6. </w:t>
      </w:r>
      <w:r>
        <w:rPr>
          <w:b/>
          <w:bCs/>
          <w:lang w:val="el" w:eastAsia="el"/>
        </w:rPr>
        <w:t>Διεύθυνση Νομικής υποστήριξης</w:t>
      </w:r>
    </w:p>
    <w:p>
      <w:pPr>
        <w:spacing w:before="240" w:after="240"/>
        <w:rPr>
          <w:lang w:val="el" w:eastAsia="el"/>
        </w:rPr>
      </w:pPr>
      <w:r>
        <w:rPr>
          <w:b/>
          <w:bCs/>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8. </w:t>
      </w:r>
      <w:r>
        <w:rPr>
          <w:b/>
          <w:bCs/>
          <w:lang w:val="el" w:eastAsia="el"/>
        </w:rPr>
        <w:t>Διεύθυνση Διαχείρισης Υποδομών</w:t>
      </w:r>
    </w:p>
    <w:p>
      <w:pPr>
        <w:spacing w:before="240" w:after="240"/>
        <w:rPr>
          <w:lang w:val="el" w:eastAsia="el"/>
        </w:rPr>
      </w:pPr>
      <w:r>
        <w:rPr>
          <w:b/>
          <w:bCs/>
          <w:lang w:val="el" w:eastAsia="el"/>
        </w:rPr>
        <w:t xml:space="preserve">9. </w:t>
      </w:r>
      <w:r>
        <w:rPr>
          <w:b/>
          <w:bCs/>
          <w:lang w:val="el" w:eastAsia="el"/>
        </w:rPr>
        <w:t>Διεύθυνση Επιχειρησιακών Διαδικασιών</w:t>
      </w:r>
    </w:p>
    <w:p>
      <w:pPr>
        <w:spacing w:before="240" w:after="240"/>
        <w:rPr>
          <w:lang w:val="el" w:eastAsia="el"/>
        </w:rPr>
      </w:pPr>
      <w:r>
        <w:rPr>
          <w:b/>
          <w:bCs/>
          <w:lang w:val="el" w:eastAsia="el"/>
        </w:rPr>
        <w:t xml:space="preserve">10. </w:t>
      </w:r>
      <w:r>
        <w:rPr>
          <w:b/>
          <w:bCs/>
          <w:lang w:val="el" w:eastAsia="el"/>
        </w:rPr>
        <w:t>Διεύθυνση Ελεγκτικών Διαδικασιών- Τμήμα Α’</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ΚΑΛΑΪΤΖΙ∆ΗΣ ΓΕΩΡΓΙΟΣ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