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23/10/2025</w:t>
      </w:r>
    </w:p>
    <w:p>
      <w:pPr>
        <w:pStyle w:val="Title"/>
        <w:spacing w:before="120" w:after="360"/>
        <w:rPr>
          <w:lang w:val="el" w:eastAsia="el"/>
        </w:rPr>
      </w:pPr>
      <w:r>
        <w:rPr>
          <w:lang w:val="el" w:eastAsia="el"/>
        </w:rPr>
        <w:t>Α. Π.: Εισερχ. Α1145</w:t>
      </w:r>
    </w:p>
    <w:p>
      <w:pPr>
        <w:pStyle w:val="Title"/>
        <w:spacing w:before="120" w:after="360"/>
        <w:rPr>
          <w:lang w:val="el" w:eastAsia="el"/>
        </w:rPr>
      </w:pPr>
      <w:r>
        <w:rPr>
          <w:lang w:val="el" w:eastAsia="el"/>
        </w:rPr>
        <w:t>Α. Π. Αποστολέα: Α1145</w:t>
      </w:r>
    </w:p>
    <w:p>
      <w:pPr>
        <w:pStyle w:val="Title"/>
        <w:spacing w:before="120" w:after="360"/>
        <w:rPr>
          <w:lang w:val="el" w:eastAsia="el"/>
        </w:rPr>
      </w:pPr>
      <w:r>
        <w:rPr>
          <w:lang w:val="el" w:eastAsia="el"/>
        </w:rPr>
        <w:t>Ημ/νία Αποστολής: 23/10/2025</w:t>
      </w:r>
    </w:p>
    <w:p>
      <w:pPr>
        <w:pStyle w:val="Title"/>
        <w:spacing w:before="120" w:after="360"/>
        <w:rPr>
          <w:lang w:val="el" w:eastAsia="el"/>
        </w:rPr>
      </w:pPr>
      <w:r>
        <w:rPr>
          <w:b/>
          <w:bCs/>
          <w:lang w:val="el" w:eastAsia="el"/>
        </w:rPr>
        <w:t>Αριθ. ΦΕΚ: 5879/04.11.2025</w:t>
      </w:r>
    </w:p>
    <w:p>
      <w:pPr>
        <w:pStyle w:val="Title"/>
        <w:spacing w:before="120" w:after="360"/>
        <w:rPr>
          <w:lang w:val="el" w:eastAsia="el"/>
        </w:rPr>
      </w:pPr>
      <w:r>
        <w:rPr>
          <w:b/>
          <w:bCs/>
          <w:lang w:val="el" w:eastAsia="el"/>
        </w:rPr>
        <w:t>Αθήνα, 21 Οκτωβρίου 2025</w:t>
      </w:r>
    </w:p>
    <w:p>
      <w:pPr>
        <w:pStyle w:val="Title"/>
        <w:spacing w:before="120" w:after="360"/>
        <w:rPr>
          <w:lang w:val="el" w:eastAsia="el"/>
        </w:rPr>
      </w:pPr>
      <w:r>
        <w:rPr>
          <w:b/>
          <w:bCs/>
          <w:lang w:val="el" w:eastAsia="el"/>
        </w:rPr>
        <w:t>A. 1145</w:t>
      </w:r>
    </w:p>
    <w:p>
      <w:pPr>
        <w:pStyle w:val="Title"/>
        <w:spacing w:before="120" w:after="360"/>
        <w:rPr>
          <w:lang w:val="el" w:eastAsia="el"/>
        </w:rPr>
      </w:pPr>
      <w:r>
        <w:rPr>
          <w:b/>
          <w:bCs/>
          <w:lang w:val="el" w:eastAsia="el"/>
        </w:rPr>
        <w:t>&amp;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Α.1122/2024 κοινής απόφασης του Υφυπουργού Εθνικής Οικονομίας &amp;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b/>
          <w:bCs/>
          <w:lang w:val="el" w:eastAsia="el"/>
        </w:rPr>
        <w:t>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9Β του άρθρου 5 του ν. 4308/2014 «Ελληνικά Λογιστικά Πρότυπα, συναφείς ρυθμίσεις και άλλες διατάξεις» (A΄ 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lang w:val="el" w:eastAsia="el"/>
        </w:rPr>
        <w:t xml:space="preserve">4.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5.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6. </w:t>
      </w:r>
      <w:r>
        <w:rPr>
          <w:b/>
          <w:bCs/>
          <w:lang w:val="el" w:eastAsia="el"/>
        </w:rPr>
        <w:t>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 xml:space="preserve">7. </w:t>
      </w:r>
      <w:r>
        <w:rPr>
          <w:b/>
          <w:bCs/>
          <w:lang w:val="el" w:eastAsia="el"/>
        </w:rPr>
        <w:t>Την υπό στοιχεία 47542 ΕΞ 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8. </w:t>
      </w:r>
      <w:r>
        <w:rPr>
          <w:b/>
          <w:bCs/>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lang w:val="el" w:eastAsia="el"/>
        </w:rPr>
        <w:t xml:space="preserve">9. </w:t>
      </w:r>
      <w:r>
        <w:rPr>
          <w:b/>
          <w:bCs/>
          <w:lang w:val="el" w:eastAsia="el"/>
        </w:rPr>
        <w:t>Την υπό στοιχεία Α.1122/2024 κοινή απόφαση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w:t>
      </w:r>
    </w:p>
    <w:p>
      <w:pPr>
        <w:spacing w:before="240" w:after="240"/>
        <w:rPr>
          <w:lang w:val="el" w:eastAsia="el"/>
        </w:rPr>
      </w:pPr>
      <w:r>
        <w:rPr>
          <w:lang w:val="el" w:eastAsia="el"/>
        </w:rPr>
        <w:t xml:space="preserve">10. </w:t>
      </w:r>
      <w:r>
        <w:rPr>
          <w:b/>
          <w:bCs/>
          <w:lang w:val="el" w:eastAsia="el"/>
        </w:rPr>
        <w:t>Την υπό στοιχεία Α.1123/2024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lang w:val="el" w:eastAsia="el"/>
        </w:rPr>
        <w:t xml:space="preserve">11. </w:t>
      </w:r>
      <w:r>
        <w:rPr>
          <w:b/>
          <w:bCs/>
          <w:lang w:val="el" w:eastAsia="el"/>
        </w:rPr>
        <w:t>Την υπό στοιχεία Α.1060/2021 κοινή απόφαση του Υφυπουργού Οικονομικών και του Διοικητή της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(Β΄1217).</w:t>
      </w:r>
    </w:p>
    <w:p>
      <w:pPr>
        <w:spacing w:before="240" w:after="240"/>
        <w:rPr>
          <w:lang w:val="el" w:eastAsia="el"/>
        </w:rPr>
      </w:pPr>
      <w:r>
        <w:rPr>
          <w:lang w:val="el" w:eastAsia="el"/>
        </w:rPr>
        <w:t xml:space="preserve">12.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w:t>
      </w:r>
    </w:p>
    <w:p>
      <w:pPr>
        <w:spacing w:before="240" w:after="240"/>
        <w:rPr>
          <w:lang w:val="el" w:eastAsia="el"/>
        </w:rPr>
      </w:pPr>
      <w:r>
        <w:rPr>
          <w:b/>
          <w:bCs/>
          <w:lang w:val="el" w:eastAsia="el"/>
        </w:rPr>
        <w:t>Οικονομικών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lang w:val="el" w:eastAsia="el"/>
        </w:rPr>
        <w:t xml:space="preserve">13. </w:t>
      </w:r>
      <w:r>
        <w:rPr>
          <w:b/>
          <w:bCs/>
          <w:lang w:val="el" w:eastAsia="el"/>
        </w:rPr>
        <w:t>Την ανάγκη μετάθεσης του χρόνου έναρξης εφαρμογής της δεύτερης φάσης, ώστε να παρασχεθεί επαρκής χρόνος για τις αναγκαίες τεχνικές υλοποιήσεις, αλλά και επικαιροποίησης των προϋποθέσεων ένταξης στις εξαιρέσεις από την έκδοση ψηφιακού παραστατικού διακίνησης με σκοπό την ενιαία αντιμετώπιση όμοιων περιπτώσεων διακίνησης.</w:t>
      </w:r>
    </w:p>
    <w:p>
      <w:pPr>
        <w:spacing w:before="240" w:after="240"/>
        <w:rPr>
          <w:lang w:val="el" w:eastAsia="el"/>
        </w:rPr>
      </w:pPr>
      <w:r>
        <w:rPr>
          <w:lang w:val="el" w:eastAsia="el"/>
        </w:rPr>
        <w:t xml:space="preserve">14.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15.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Τροποποιείται η υπό στοιχεία Α.1122/2024 κοινή απόφαση του Υφυπουργού Εθνικής Οικονομίας και Οικονομικών και του Διοικητή της Ανεξάρτητης Αρχής Δημοσίων Εσόδων (ΑΑΔΕ)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(Β’4570),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περ. στ), η), θ), ι) και ια) του άρθρου 2 αντικαθίστανται ως εξής: «στ) η διακίνηση παγίων (υπό την προϋπόθεση ότι δεν διακινούνται με σκοπό την πώλησή τους) και η διακίνηση ανταλλακτικών παγίων μεταξύ των εγκαταστάσεων της οντότητας, εφόσον δεν αποτελούν γι' αυτήν αντικείμενο εμπορίας και προορίζονται αποκλειστικά είτε για την αποκατάσταση βλαβών στις εγκαταστάσεις της είτε για την συντήρηση και επισκευή του δικτύου της (όπως δίκτυο ύδρευσης και αποχέτευσης, δίκτυο διανομής ηλεκτρικής ενέργειας, δίκτυο αυτοκινητοδρόμων),»</w:t>
      </w:r>
    </w:p>
    <w:p>
      <w:pPr>
        <w:spacing w:before="240" w:after="240"/>
        <w:rPr>
          <w:lang w:val="el" w:eastAsia="el"/>
        </w:rPr>
      </w:pPr>
      <w:r>
        <w:rPr>
          <w:b/>
          <w:bCs/>
          <w:lang w:val="el" w:eastAsia="el"/>
        </w:rPr>
        <w:t>«η) διακίνηση (α) αυτούσιων λατομικών προϊόντων (άμμου, σκύρου κ.λπ.) από κατασκευαστικές οντότητες, τα οποία παράγονται από τις ίδιες οντότητες για τα έργα που εκτελούνται από αυτές, (β) μεταλλεύματος και βιομηχανικών ορυκτών, από εργοτάξιο σε εργοτάξιο και από εργοτάξιο σε χώρους αποθήκευσης, επεξεργασίας και εκφόρτωσης, κατά περίπτωση, που ενεργούνται από μεταλλευτικές και εξορυκτικές οντότητες και (γ) πέτρας, χαλικιού, αργιλοπετρώματος και αργιλοχώματος, από οντότητες παραγωγής αδρανών υλικών, ασβέστη, τσιμέντου, κεραμικών τούβλων και κεραμιδιών, από τους χώρους περισυλλογής ή εξόρυξης στους χώρους επεξεργασίας,</w:t>
      </w:r>
    </w:p>
    <w:p>
      <w:pPr>
        <w:spacing w:before="240" w:after="240"/>
        <w:rPr>
          <w:lang w:val="el" w:eastAsia="el"/>
        </w:rPr>
      </w:pPr>
      <w:r>
        <w:rPr>
          <w:b/>
          <w:bCs/>
          <w:lang w:val="el" w:eastAsia="el"/>
        </w:rPr>
        <w:t>θ) η διανομή πανεπιστημιακών συγγραμμάτων στους φοιτητές που παρακολουθείται ηλεκτρονικά από το πληροφοριακό σύστημα «Εύδοξος», καθώς και η διανομή δωρεάν διδακτικών βιβλίων στα Δημόσια Σχολεία πρωτοβάθμιάς και δευτεροβάθμιας εκπαίδευσης από το ΙΤΥΕ «Διόφαντος»,</w:t>
      </w:r>
    </w:p>
    <w:p>
      <w:pPr>
        <w:spacing w:before="240" w:after="240"/>
        <w:rPr>
          <w:lang w:val="el" w:eastAsia="el"/>
        </w:rPr>
      </w:pPr>
      <w:r>
        <w:rPr>
          <w:b/>
          <w:bCs/>
          <w:lang w:val="el" w:eastAsia="el"/>
        </w:rPr>
        <w:t>ι) οι συναλλαγές λιανικής εφόσον συνοδεύονται από παραστατικό αξίας, με εξαίρεση τις διακινήσεις μέσω οντότητας παροχής ταχυδρομικών υπηρεσιών και ταχυμεταφορών στις οποίες το παραστατικό αξίας δεν τοποθετείται σε εμφανές και άμεσα προσβάσιμο σημείο επί του μεταφερόμενου αντικειμένου ή δεν δύναται να επιδειχθεί άμεσα από τον μεταφορέα, καθώςκαι τις διακινήσεις ενεργειακών προϊόντων (καυσίμων), σύμφωνα με τα οριζόμενα στις διατάξεις της υπό στοιχεία Α.1060/2021 (Β΄ 1217) απόφασης του Υφυπουργού Οικονομικών και Διοικητή της ΑΑΔΕ, οι οποίες περιλαμβάνονται στο πλαίσιο εφαρμογής της παρούσας,</w:t>
      </w:r>
    </w:p>
    <w:p>
      <w:pPr>
        <w:spacing w:before="240" w:after="240"/>
        <w:rPr>
          <w:lang w:val="el" w:eastAsia="el"/>
        </w:rPr>
      </w:pPr>
      <w:r>
        <w:rPr>
          <w:b/>
          <w:bCs/>
          <w:lang w:val="el" w:eastAsia="el"/>
        </w:rPr>
        <w:t>ια) η διακίνηση εφημερίδων και περιοδικών προς τις εταιρείες παροχής ταχυδρομικών υπηρεσιών ή απευθείας προς τους συνδρομητές από τις επιχειρήσεις έκδοσης ή διακίνησης των ειδών αυτών, καθώς και η διακίνηση εφημερίδων και περιοδικών από και προς τους υποπράκτορες (εφημεριδοπώλες), προς και από τα σημεία πώλησης, αντίστοιχα.»</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παράγραφος 3 του άρθρου 3 αντικαθίσταται ως εξής:</w:t>
      </w:r>
    </w:p>
    <w:p>
      <w:pPr>
        <w:spacing w:before="240" w:after="240"/>
        <w:rPr>
          <w:lang w:val="el" w:eastAsia="el"/>
        </w:rPr>
      </w:pPr>
      <w:r>
        <w:rPr>
          <w:b/>
          <w:bCs/>
          <w:lang w:val="el" w:eastAsia="el"/>
        </w:rPr>
        <w:t>«3. Ο Λήπτης αποθεμάτων, για τα οποία διαπιστώθηκαν αποκλίσεις (πλεονάσματα - ελλείμματα), διαβιβάζει στην ψηφιακή πλατφόρμα myDATA Τύπους Παραστατικών διακίνησης άνευ αξίας (δελτία ποσοτικής παραλαβής), εντός δεκαπέντε (15) ημερών από την ημερομηνία παραλαβής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παρ. 4 και 5 του άρθρου 4 αντικαθίστανται ως εξής:</w:t>
      </w:r>
    </w:p>
    <w:p>
      <w:pPr>
        <w:spacing w:before="240" w:after="240"/>
        <w:rPr>
          <w:lang w:val="el" w:eastAsia="el"/>
        </w:rPr>
      </w:pPr>
      <w:r>
        <w:rPr>
          <w:b/>
          <w:bCs/>
          <w:lang w:val="el" w:eastAsia="el"/>
        </w:rPr>
        <w:t>«4. Από την 1/12/2025 έως και την 30/4/2026 δύναται να διαβιβάζονται στην ψηφιακή πλατφόρμα myDATA τα δεδομένα της ψηφιακής παρακολούθησης διακίνησης αποθεμάτων για το σύνολο των υπόχρεων οντοτήτων της παρούσας, για τη δεύτερη φάση της ψηφιακής παρακολούθησης διακίνησης αποθεμάτων, σύμφωνα με το Παράρτημα Ι της υπό στοιχεία Α.1123/2024 απόφασης του Διοικητή της ΑΑΔΕ.</w:t>
      </w:r>
    </w:p>
    <w:p>
      <w:pPr>
        <w:spacing w:before="240" w:after="240"/>
        <w:rPr>
          <w:lang w:val="el" w:eastAsia="el"/>
        </w:rPr>
      </w:pPr>
      <w:r>
        <w:rPr>
          <w:lang w:val="el" w:eastAsia="el"/>
        </w:rPr>
        <w:t xml:space="preserve">5. </w:t>
      </w:r>
      <w:r>
        <w:rPr>
          <w:b/>
          <w:bCs/>
          <w:lang w:val="el" w:eastAsia="el"/>
        </w:rPr>
        <w:t>Από την 1/12/2025 και εφεξής διαβιβάζονται υποχρεωτικά στην ψηφιακή πλατφόρμα myDATA τα δεδομένα της ψηφιακής παρακολούθησης διακίνησης αποθεμάτων για το σύνολο των υπόχρεων οντοτήτων της παρούσας, για την πρώτη φάση της ψηφιακής παρακολούθησης διακίνησης αποθεμάτων, σύμφωνα με το Παράρτημα Ι της υπό στοιχεία Α.1123/2024 απόφασης του Διοικητή της ΑΑΔΕ. Από 1/5/2026 και εφεξής διαβιβάζονται υποχρεωτικά, για το σύνολο των υπόχρεων οντοτήτων της παρούσας, τα δεδομένα για τη δεύτερη φάση της ψηφιακής παρακολούθησης διακίνησης αποθεμάτων.».</w:t>
      </w:r>
    </w:p>
    <w:p>
      <w:pPr>
        <w:spacing w:before="240" w:after="240"/>
        <w:rPr>
          <w:lang w:val="el" w:eastAsia="el"/>
        </w:rPr>
      </w:pP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w:t>
      </w:r>
    </w:p>
    <w:p>
      <w:pPr>
        <w:spacing w:before="240" w:after="240"/>
        <w:rPr>
          <w:lang w:val="el" w:eastAsia="el"/>
        </w:rPr>
      </w:pPr>
      <w:r>
        <w:rPr>
          <w:b/>
          <w:bCs/>
          <w:lang w:val="el" w:eastAsia="el"/>
        </w:rPr>
        <w:t>&amp;ΟΙΚΟΝΟΜΙΚΩΝ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Πινάκα Β’ (εκτός του αριθ. 2), Πινάκα Ζ’ (οι αριθ. 1 και 7), Πινάκα Η’ (εκτός των αριθ. 4, 10 και 11) και Πινάκα Ι’ (οι αριθ. 1 και 4)</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Επιχειρησιακών Διαδικασιών – Τμήμα 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