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184561 ΕΞ 202</w:t>
      </w:r>
      <w:r>
        <w:rPr>
          <w:lang w:val="el" w:eastAsia="el"/>
        </w:rPr>
        <w:t xml:space="preserve">5 </w:t>
      </w:r>
    </w:p>
    <w:p>
      <w:pPr>
        <w:pStyle w:val="PreambelText"/>
        <w:spacing w:before="240" w:after="240"/>
        <w:rPr>
          <w:lang w:val="el" w:eastAsia="el"/>
        </w:rPr>
      </w:pPr>
      <w:r>
        <w:rPr>
          <w:b/>
          <w:bCs/>
          <w:lang w:val="el" w:eastAsia="el"/>
        </w:rPr>
        <w:t>Προσθήκη κατηγορίας δικαιούχων της ετήσιας οικονομικής ενίσχυσης του άρθρου 72 του ν. 5217/2025 (Α’ 120).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ΕΣΩΤΕΡΙΚΩΝ -</w:t>
      </w:r>
    </w:p>
    <w:p>
      <w:pPr>
        <w:pStyle w:val="PreambelText"/>
        <w:spacing w:before="240" w:after="240"/>
        <w:rPr>
          <w:lang w:val="el" w:eastAsia="el"/>
        </w:rPr>
      </w:pPr>
      <w:r>
        <w:rPr>
          <w:b/>
          <w:bCs/>
          <w:lang w:val="el" w:eastAsia="el"/>
        </w:rPr>
        <w:t>ΚΟΙΝΩΝΙΚΗΣ ΣΥΝΟΧΗΣ ΚΑΙ ΟΙΚΟΓΕΝΕΙΑΣ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72 του ν. 5217/2025 «Διασφάλιση δημοσιονομικής ισορροπίας: Μεταρρύθμιση πλαισίου δημοσιονομικής διαχείρισης - Τροποποίηση ν. 4270/2014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 (Α’ 120) και ιδίως την παρ. 7 του άρθρου αυτού.</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3. Το άρθρο 56 του ν. 4554/2018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 (Α’ 130).</w:t>
      </w:r>
    </w:p>
    <w:p>
      <w:pPr>
        <w:pStyle w:val="PreambelText"/>
        <w:spacing w:before="240" w:after="240"/>
        <w:rPr>
          <w:lang w:val="el" w:eastAsia="el"/>
        </w:rPr>
      </w:pPr>
      <w:r>
        <w:rPr>
          <w:lang w:val="el" w:eastAsia="el"/>
        </w:rPr>
        <w:t>4. Το άρθρο 22 του ν. 2646/1998 «Ανάπτυξη του Εθνικού Συστήματος Κοινωνικής Φροντίδας και άλλες διατάξεις» (Α’ 236).</w:t>
      </w:r>
    </w:p>
    <w:p>
      <w:pPr>
        <w:pStyle w:val="PreambelText"/>
        <w:spacing w:before="240" w:after="240"/>
        <w:rPr>
          <w:lang w:val="el" w:eastAsia="el"/>
        </w:rPr>
      </w:pPr>
      <w:r>
        <w:rPr>
          <w:lang w:val="el" w:eastAsia="el"/>
        </w:rPr>
        <w:t>5. Το άρθρο 3 του ν. 1284/1982 «Ρύθμιση ορισμένων μισθολογικών, φορολογικών, δασμολογικών και δημοσιολογιστικών θεμάτων» (Α’ 114).</w:t>
      </w:r>
    </w:p>
    <w:p>
      <w:pPr>
        <w:pStyle w:val="PreambelText"/>
        <w:spacing w:before="240" w:after="240"/>
        <w:rPr>
          <w:lang w:val="el" w:eastAsia="el"/>
        </w:rPr>
      </w:pPr>
      <w:r>
        <w:rPr>
          <w:lang w:val="el" w:eastAsia="el"/>
        </w:rPr>
        <w:t>6. Το άρθρο 11 του ν. 1140/1981 «Περί τροποποιήσεως και συμπληρώσεως του ν. 4169/1961 “περί Γεωργικών Κοινωνικών Ασφαλίσεων” και άλλων τινών διατάξεων» (Α’ 68). 7.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π.δ. 142/2017 «Οργανισμός του Υπουργείου Οικονομικών» (Α’ 181),</w:t>
      </w:r>
    </w:p>
    <w:p>
      <w:pPr>
        <w:pStyle w:val="StructureList1"/>
        <w:spacing w:before="120" w:after="0"/>
        <w:rPr>
          <w:lang w:val="el" w:eastAsia="el"/>
        </w:rPr>
      </w:pPr>
      <w:r>
        <w:rPr>
          <w:lang w:val="el" w:eastAsia="el"/>
        </w:rPr>
        <w:t>β)</w:t>
      </w:r>
      <w:r>
        <w:rPr>
          <w:lang w:val="en" w:eastAsia="en"/>
        </w:rPr>
        <w:tab/>
      </w:r>
      <w:r>
        <w:rPr>
          <w:lang w:val="el" w:eastAsia="el"/>
        </w:rPr>
        <w:t>του π.δ. 141/2017 «Οργανισμός του Υπουργείου Εσωτερικών» (Α’ 180),</w:t>
      </w:r>
    </w:p>
    <w:p>
      <w:pPr>
        <w:pStyle w:val="StructureList1"/>
        <w:spacing w:before="120" w:after="0"/>
        <w:rPr>
          <w:lang w:val="el" w:eastAsia="el"/>
        </w:rPr>
      </w:pPr>
      <w:r>
        <w:rPr>
          <w:lang w:val="el" w:eastAsia="el"/>
        </w:rPr>
        <w:t>γ)</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δ)</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ε)</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στ) του π.δ. 32/2024 «Διορισμός Υπουργών και Υφυπουργών» (Α’ 91) και</w:t>
      </w:r>
    </w:p>
    <w:p>
      <w:pPr>
        <w:pStyle w:val="StructureList1"/>
        <w:spacing w:before="120" w:after="0"/>
        <w:rPr>
          <w:lang w:val="el" w:eastAsia="el"/>
        </w:rPr>
      </w:pPr>
      <w:r>
        <w:rPr>
          <w:lang w:val="el" w:eastAsia="el"/>
        </w:rPr>
        <w:t>ζ)</w:t>
      </w:r>
      <w:r>
        <w:rPr>
          <w:lang w:val="en" w:eastAsia="en"/>
        </w:rPr>
        <w:tab/>
      </w:r>
      <w:r>
        <w:rPr>
          <w:lang w:val="el" w:eastAsia="el"/>
        </w:rPr>
        <w:t>του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8. Την υπό στοιχεία 102928 ΕΞ 2023/10.7.2023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9. Την υπ’ αρ. 923/26-9-2025 κοινή απόφαση του Πρωθυπουργού και του Υπουργού Εσωτερικών «Ανάθεση αρμοδιοτήτων στην Υφυπουργό Εσωτερικών, Παρασκευή Χαραλαμπογιάννη» (Β’ 5254).</w:t>
      </w:r>
    </w:p>
    <w:p>
      <w:pPr>
        <w:pStyle w:val="PreambelText"/>
        <w:spacing w:before="240" w:after="240"/>
        <w:rPr>
          <w:lang w:val="el" w:eastAsia="el"/>
        </w:rPr>
      </w:pPr>
      <w:r>
        <w:rPr>
          <w:lang w:val="el" w:eastAsia="el"/>
        </w:rPr>
        <w:t>10. Τις διατάξεις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11. α) Την υπ’ αρ. 236/2025 εισήγηση του Γενικής Διεύθυνσης Οικονομικών Τοπικής Αυτοδιοίκησης και Αναπτυξιακής Πολιτικής του Υπουργείου Εσωτερικών, β) την υπ’ αρ. Β2α, Β1α/οικ.46091/16.10.2025 εισήγηση της Γενικής Διεύθυνσης Οικονομικών Υπηρεσιών του Υπουργείου Υγείας, γ) την υπό στοιχεία Φ.1/Γ/627/129268/Β1/ 14.10.2025 εισήγηση της Γενικής Διεύθυνσης Οικονομικών Υπηρεσιών του Υπουργείου Παιδείας, Θρησκευμάτων και Αθλητισμού και δ) την υπ’ αρ. 14915/14.10.2025 εισηγητική έκθεση της Γενικής Διεύθυνσης Διοικητικών και Οικονομικών Υπηρεσιών και Ηλεκτρονικής Διακυβέρνησης του Υπουργείου Κοινωνικής Συνοχής και Οικογένειας.</w:t>
      </w:r>
    </w:p>
    <w:p>
      <w:pPr>
        <w:pStyle w:val="PreambelText"/>
        <w:spacing w:before="240" w:after="240"/>
        <w:rPr>
          <w:lang w:val="el" w:eastAsia="el"/>
        </w:rPr>
      </w:pPr>
      <w:r>
        <w:rPr>
          <w:lang w:val="el" w:eastAsia="el"/>
        </w:rPr>
        <w:t>12. Το γεγονός ότι από την παρούσα απόφαση προκαλείται πρόσθετη ετήσια δαπάνη σε βάρος των προϋπολογισμών: α) Των ΟΤΑ Α’ και Β’ βαθμού, καθώς και νομικών προσώπων που ανήκουν σε αυτούς, η οποία ανέρχεται για το τρέχον οικονομικό έτος στο ποσό των δεκαοκτώ χιλιάδων (18.000) ευρώ περίπου, β) των νοσοκομείων εποπτείας του Υπουργείου Υγείας, του Εθνικού Κέντρου Άμεσης Βοήθειας (Ε.Κ.Α.Β.), καθώς και λοιπών εποπτευόμενων φορέων του Υπουργείου Υγείας, η οποία ανέρχεται για το τρέχον οικονομικό έτος στο ποσό των δεκαέξι χιλιάδων πεντακοσίων (16.500) ευρώ περίπου, γ) των νοσοκομείων εποπτείας του Υπουργείου Παιδείας, Θρησκευμάτων και Αθλητισμού, καθώς και Ανώτατων Εκπαιδευτικών Ιδρυμάτων (Α.Ε.Ι.), η οποία ανέρχεται για το τρέχον οικονομικό έτος στο ποσό των τριών χιλιάδων επτακοσίων πενήντα (3.750) ευρώ περίπου και δ) του Οργανισμού Προνοιακών Επιδομάτων και Κοινωνικής Αλληλεγγύης (ΟΠΕΚΑ), η οποία ανέρχεται για το τρέχον οικονομικό έτος στο ποσό των διακοσίων πενήντα (250) ευρώ. Οι δαπάνες των περ. α, β, γ και δ θα καλυφθούν στο σύνολό τους στο πλαίσιο του εκτελούμενου προϋπολογισμού εκάστου εκ των ως άνω φορέων, ενώ για κάθε ένα από τα επόμενα οικονομικά έτη θα γίνεται σχετική πρόβλεψη στους αντίστοιχους Προϋπολογισμούς των φορέων, εντός των ορίων του Πολυετούς Δημοσιονομικού Προγραμματισμού (ΠΔΠ).</w:t>
      </w:r>
    </w:p>
    <w:p>
      <w:pPr>
        <w:pStyle w:val="PreambelText"/>
        <w:spacing w:before="240" w:after="240"/>
        <w:rPr>
          <w:lang w:val="el" w:eastAsia="el"/>
        </w:rPr>
      </w:pPr>
      <w:r>
        <w:rPr>
          <w:lang w:val="el" w:eastAsia="el"/>
        </w:rPr>
        <w:t>13. Το γεγονός ότι η παρούσα απόφαση δεν αφορά σε διοικητική διαδικασία για την οποία υπάρχει υποχρέωση καταχώρισης στο ΕΜΔΔ-ΜΙΤΟΣ,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Ως δικαιούχοι της ετήσιας οικονομικής ενίσχυσης του άρθρου 72 του ν. 5217/2025, ύψους διακοσίων πενήντα (250) ευρώ, προστίθενται οι εν ενεργεία απασχολούμενοι σε φορείς της Γενικής Κυβέρνησης, όπως αυτή ορίζεται στην περ. β της παρ. 1 του άρθρου 14 του ν. 4270/2014, στους οποίους το επίδομα τετραπληγίας-παραπληγίας των άρθρων 3 του ν. 1284/1982, 22 του ν. 2646/1998 και 56 του ν. 4554/2018 καταβάλλεται, είτε για τον εαυτό τους ατομικά είτε για πάσχοντα από τις αυτές νόσους μέλη της οικογένειάς τους, μέσω της Ενιαίας Αρχής Πληρωμής (ΕΑΠ) της Γενικής Γραμματείας Δημοσιονομικής Πολιτικής/Γ.Λ. Κράτους.</w:t>
      </w:r>
    </w:p>
    <w:p>
      <w:pPr>
        <w:pStyle w:val="MainText"/>
        <w:spacing w:before="120" w:after="0"/>
        <w:rPr>
          <w:lang w:val="el" w:eastAsia="el"/>
        </w:rPr>
      </w:pPr>
      <w:r>
        <w:rPr>
          <w:b/>
          <w:bCs/>
          <w:lang w:val="el" w:eastAsia="el"/>
        </w:rPr>
        <w:t>2.</w:t>
      </w:r>
      <w:r>
        <w:rPr>
          <w:lang w:val="el" w:eastAsia="el"/>
        </w:rPr>
        <w:t xml:space="preserve"> Η καταβολή της ως άνω ετήσιας οικονομικής ενίσχυσης πραγματοποιείται από κάθε υπόχρεο φορέα κατά τη συνήθη διαδικασία πληρωμής της μισθοδοσίας των απασχολούμενων σε αυτόν δικαιούχων, εφαρμοζομένων κατά τα λοιπά των παρ. 3 και 4 του άρθρου 72 του ν. 5217/2025.</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Οκτωβρίου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Υφυπουργός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ΠΑΡΑΣΚΕΥΗ ΧΑΡΑΛΑΜΠΟΓΙΑΝΝΗ</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ΔΟΜΝΑ-ΜΑΡΙΑ</w:t>
      </w:r>
    </w:p>
    <w:p>
      <w:pPr>
        <w:spacing w:before="240" w:after="240"/>
        <w:rPr>
          <w:lang w:val="el" w:eastAsia="el"/>
        </w:rPr>
      </w:pPr>
      <w:r>
        <w:rPr>
          <w:lang w:val="el" w:eastAsia="el"/>
        </w:rPr>
        <w:t>ΜΙΧΑΗΛΙΔΟΥ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