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27/10/2025</w:t>
      </w:r>
    </w:p>
    <w:p>
      <w:pPr>
        <w:pStyle w:val="PreambelText"/>
        <w:spacing w:before="240" w:after="240"/>
        <w:rPr>
          <w:lang w:val="el" w:eastAsia="el"/>
        </w:rPr>
      </w:pPr>
      <w:r>
        <w:rPr>
          <w:lang w:val="el" w:eastAsia="el"/>
        </w:rPr>
        <w:t>Α. Π.: Εισερχ. Α1147</w:t>
      </w:r>
    </w:p>
    <w:p>
      <w:pPr>
        <w:pStyle w:val="PreambelText"/>
        <w:spacing w:before="240" w:after="240"/>
        <w:rPr>
          <w:lang w:val="el" w:eastAsia="el"/>
        </w:rPr>
      </w:pPr>
      <w:r>
        <w:rPr>
          <w:lang w:val="el" w:eastAsia="el"/>
        </w:rPr>
        <w:t>Α. Π. Αποστολέα: Α1147 Ημ/νία Αποστολής: 27/10/2025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Αριθ. ΦΕΚ: Αθήνα, Α.</w:t>
      </w:r>
    </w:p>
    <w:p>
      <w:pPr>
        <w:pStyle w:val="PreambelText"/>
        <w:spacing w:before="240" w:after="240"/>
        <w:rPr>
          <w:lang w:val="el" w:eastAsia="el"/>
        </w:rPr>
      </w:pPr>
      <w:r>
        <w:rPr>
          <w:b/>
          <w:bCs/>
          <w:lang w:val="el" w:eastAsia="el"/>
        </w:rPr>
        <w:t>Α) ΓΕΝΙΚΗ ΔΙΕΥΘΥΝΣΗ ΗΛΕΚΤΡΟΝΙΚΗΣ ΔΙΑΚΥΒΕΡΝΗΣΗΣ</w:t>
      </w:r>
    </w:p>
    <w:p>
      <w:pPr>
        <w:pStyle w:val="PreambelText"/>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Β) ΓΕΝΙΚΗ ΔΙΕΥΘΥΝΣΗ ΦΟΡΟΛΟΓΙΑΣ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17778 Ταύρος</w:t>
      </w:r>
    </w:p>
    <w:p>
      <w:pPr>
        <w:spacing w:before="240" w:after="240"/>
        <w:rPr>
          <w:lang w:val="el" w:eastAsia="el"/>
        </w:rPr>
      </w:pPr>
      <w:r>
        <w:rPr>
          <w:b/>
          <w:bCs/>
          <w:lang w:val="el" w:eastAsia="el"/>
        </w:rPr>
        <w:t>: 213-1410810-7</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Τροποποίηση της υπό στοιχεία Α.1098/13.07.2022 απόφασης του Διοικητή της Ανεξάρτητης Αρχής Δημοσίων Εσόδων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 του άρθρου 12 και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4 και του άρθρου 41 αυτού.</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Α.1138/2020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Α.1024/2020 απόφασης του Διοικητή της Ανεξάρτητης Αρχής Δημοσίων Εσόδων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ΠΟΛ.1166/2018 απόφασης του Διοικητή της Ανεξάρτητης Αρχής Δημοσίων Εσόδων «Τεχνικές προδιαγραφές πρωτοκόλλου επικοινωνίας και κρυπτογράφησης για την διαβίβαση δεδομένων στο πληροφοριακό σύστημα των ΦΗΜ» (Β΄3603),</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Α.Υ.Ο. ΠΟΛ.1220/2012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Α.1173/2022 απόφασης του Διοικητή της Ανεξάρτητης Αρχής Δημοσίων Εσόδων «Τροποποίηση τεχνικών προδιαγραφών ΦΗΜ.» (Β’6953),</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Α.1011/2020 απόφασης του Διοικητή Ανεξάρτητης Αρχής Δημοσίων Εσόδων «Απόσυρση από την χρήση μοντέλων Φορολογικών Ηλεκτρονικών Μηχανισμών (ΦΗΜ), που έλαβαν άδεια καταλληλότητας με βάση τις Α.Υ.Ο.Ο. ΠΟΛ.1234/9.10.2002 (Β΄1362) και ΠΟΛ.1135/26-10-2005 (Β΄1592), εκτός των Ε.Α.Φ.Δ.Σ.Σ. και των ΑΔΗΜΕ Ταξιμέτρων» (Β΄85).</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Α.Υ.Ο. ΠΟΛ.1221/2012 απόφασης «Αναβάθμιση λογισμικών υποστήριξης των Ε.Α.Φ.Δ.Σ.Σ. – Καθορισμός αποστελλομένων αρχείων δεδομένων των φορολογικών στοιχείων της ΓΓΠΣ κατ’ εφαρμογή των διατάξεων του άρθρου 20 του ν. 3842/2010 (Α’ 58)» (Β’ 3513).</w:t>
      </w:r>
    </w:p>
    <w:p>
      <w:pPr>
        <w:spacing w:before="240" w:after="240"/>
        <w:rPr>
          <w:lang w:val="el" w:eastAsia="el"/>
        </w:rPr>
      </w:pPr>
      <w:r>
        <w:rPr>
          <w:lang w:val="el" w:eastAsia="el"/>
        </w:rPr>
        <w:t xml:space="preserve">3. </w:t>
      </w:r>
      <w:r>
        <w:rPr>
          <w:b/>
          <w:bCs/>
          <w:lang w:val="el" w:eastAsia="el"/>
        </w:rPr>
        <w:t>Το με αριθμό C (2012) 4961 έγγραφο της Ευρωπαϊκής Επιτροπής με το οποίο μας γνωστοποιήθηκαν παρατηρήσεις επί της κοινοποίησης 2012/266/GR.</w:t>
      </w:r>
    </w:p>
    <w:p>
      <w:pPr>
        <w:spacing w:before="240" w:after="240"/>
        <w:rPr>
          <w:lang w:val="el" w:eastAsia="el"/>
        </w:rPr>
      </w:pPr>
      <w:r>
        <w:rPr>
          <w:lang w:val="el" w:eastAsia="el"/>
        </w:rPr>
        <w:t xml:space="preserve">4. </w:t>
      </w:r>
      <w:r>
        <w:rPr>
          <w:b/>
          <w:bCs/>
          <w:lang w:val="el" w:eastAsia="el"/>
        </w:rPr>
        <w:t>Το με αριθμό C(2012) 4967 έγγραφο της Ευρωπαϊκής Επιτροπής με το οποίο μας γνωστοποιήθηκαν παρατηρήσεις επί της κοινοποίησης 2012/267/GR.</w:t>
      </w:r>
    </w:p>
    <w:p>
      <w:pPr>
        <w:spacing w:before="240" w:after="240"/>
        <w:rPr>
          <w:lang w:val="el" w:eastAsia="el"/>
        </w:rPr>
      </w:pPr>
      <w:r>
        <w:rPr>
          <w:lang w:val="el" w:eastAsia="el"/>
        </w:rPr>
        <w:t xml:space="preserve">5. </w:t>
      </w:r>
      <w:r>
        <w:rPr>
          <w:b/>
          <w:bCs/>
          <w:lang w:val="el" w:eastAsia="el"/>
        </w:rPr>
        <w:t>Την έγκριση της Ευρωπαϊκής Επιτροπής επί της κοινοποίησης 2022/183/GR, για την αποδοχή της διαδικασίας του επείγοντος, με το υπ. αριθμ. GROW/E3/BH/as (2022) 3027420/12.04.2022 έγγραφο αυτής προς τον Πληρεξούσιο Υπουργό της Μόνιμης Αντιπροσωπίας της Ελλάδος στις Βρυξέλλες και το οποίο κοινοποιήθηκε εις εμάς μέσω του ΕΛΟΤ.</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7.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8. </w:t>
      </w:r>
      <w:r>
        <w:rPr>
          <w:b/>
          <w:bCs/>
          <w:lang w:val="el" w:eastAsia="el"/>
        </w:rPr>
        <w:t>Το πόρισμα της Ομάδας Διοίκησης Έργου στην ΑΑΔΕ για την εκπόνηση των προδιαγραφών της διασύνδεσης ταμειακών μηχανών με τερματικά POS, στο πλαίσιο της μεταρρύθμισης 16614 για την αναμόρφωση και τη διασύνδεση των ταμειακών μηχανών με τη φορολογική διοίκηση, που υλοποιείται στα πλαίσια του Εθνικού Σχεδίου Ανάκαμψης και Ανθεκτικότητας «Ελλάδα 2.0».</w:t>
      </w:r>
    </w:p>
    <w:p>
      <w:pPr>
        <w:spacing w:before="240" w:after="240"/>
        <w:rPr>
          <w:lang w:val="el" w:eastAsia="el"/>
        </w:rPr>
      </w:pPr>
      <w:r>
        <w:rPr>
          <w:lang w:val="el" w:eastAsia="el"/>
        </w:rPr>
        <w:t xml:space="preserve">9. </w:t>
      </w:r>
      <w:r>
        <w:rPr>
          <w:b/>
          <w:bCs/>
          <w:lang w:val="el" w:eastAsia="el"/>
        </w:rPr>
        <w:t>Την ανάγκη απαλοιφής της εξαίρεσης διασύνδεσης του EFTPOS με ΦΗΜ που καθοδηγείται από αντλία καυσίμου για την ομοιόμορφη εκπλήρωση, από τις οντότητες πρατηρίων καυσίμων, της υποχρέωσης διασύνδεσης των Μέσων Πληρωμών με το Ταμειακό Σύστημα που διαθέτουν ανεξάρτητα αν αυτό λειτουργεί με ΦΗΜ ή με Πάροχο Υπηρεσιών Ηλεκτρονικής Έκδοσης Στοιχείων καθώς και την ανάγκη εκπλήρωσης της υποχρέωσης διασύνδεσης στις περιπτώσεις αποδοχής πληρωμών μέσω υπηρεσιών άμεσης πληρωμής από λογαριασμό σε λογαριασμό.</w:t>
      </w:r>
    </w:p>
    <w:p>
      <w:pPr>
        <w:spacing w:before="240" w:after="240"/>
        <w:rPr>
          <w:lang w:val="el" w:eastAsia="el"/>
        </w:rPr>
      </w:pPr>
      <w:r>
        <w:rPr>
          <w:lang w:val="el" w:eastAsia="el"/>
        </w:rPr>
        <w:t xml:space="preserve">10.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11. </w:t>
      </w:r>
      <w:r>
        <w:rPr>
          <w:b/>
          <w:bCs/>
          <w:lang w:val="el" w:eastAsia="el"/>
        </w:rPr>
        <w:t>Το γεγονός ότι οι διατάξεις της παρούσας δεν αφορούν σε διοικητική διαδικασία για την οποία υπάρχει υποχρέωση καταχώρησης στο ΕΜΔΔ «Μίτος».</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Α.1098/13.07.2022 απόφαση του Διοικητή της Ανεξάρτητης Αρχής Δημοσίων Εσόδων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3940).»ως ακολούθως:</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lang w:val="el" w:eastAsia="el"/>
        </w:rPr>
        <w:t xml:space="preserve">1 </w:t>
      </w:r>
      <w:r>
        <w:rPr>
          <w:b/>
          <w:bCs/>
          <w:lang w:val="el" w:eastAsia="el"/>
        </w:rPr>
        <w:t>. Η παρ. 3.4 του άρθρου 3 αντικαθίσταται ως εξής:</w:t>
      </w:r>
    </w:p>
    <w:p>
      <w:pPr>
        <w:spacing w:before="240" w:after="240"/>
        <w:rPr>
          <w:lang w:val="el" w:eastAsia="el"/>
        </w:rPr>
      </w:pPr>
      <w:r>
        <w:rPr>
          <w:b/>
          <w:bCs/>
          <w:lang w:val="el" w:eastAsia="el"/>
        </w:rPr>
        <w:t>«3.4. Δεν εφαρμόζεται το παρόν πρωτόκολλο σε EFTPOS, αν η επιχείρηση δεν έχει υποχρέωση χρήσης ΦΗΜ και δεν χρησιμοποιεί ΦΗΜ. Επιτρέπεται, επίσης, η διεκπεραίωση συναλλαγών στο EFTPOS χωρίς σύνδεση ΦΗΜ, σε ταξί, όπου ο ΦΗΜ καθοδηγείται από ταξίμετρο. Στην περίπτωση αυτή δεν εφαρμόζεται το παρόν πρωτόκολλο.».</w:t>
      </w:r>
    </w:p>
    <w:p>
      <w:pPr>
        <w:spacing w:before="240" w:after="240"/>
        <w:rPr>
          <w:lang w:val="el" w:eastAsia="el"/>
        </w:rPr>
      </w:pPr>
      <w:r>
        <w:rPr>
          <w:lang w:val="el" w:eastAsia="el"/>
        </w:rPr>
        <w:t xml:space="preserve">2 </w:t>
      </w:r>
      <w:r>
        <w:rPr>
          <w:b/>
          <w:bCs/>
          <w:lang w:val="el" w:eastAsia="el"/>
        </w:rPr>
        <w:t>.Προστίθεται παράγραφος 3.5 στο άρθρο 3 ως εξής:</w:t>
      </w:r>
    </w:p>
    <w:p>
      <w:pPr>
        <w:spacing w:before="240" w:after="240"/>
        <w:rPr>
          <w:lang w:val="el" w:eastAsia="el"/>
        </w:rPr>
      </w:pPr>
      <w:r>
        <w:rPr>
          <w:b/>
          <w:bCs/>
          <w:lang w:val="el" w:eastAsia="el"/>
        </w:rPr>
        <w:t>«3.5. Για τις οντότητες πρατηρίων καυσίμων που χρησιμοποιούν ΦΗΜ που καθοδηγείται από σύστημα εισροών – εκροών, εφαρμόζεται διασύνδεση του ταμειακού συστήματος με το EFTPOS με τις εξής βασικές αρχές: α. Η απόδειξη εσόδου εκδίδεται από τον ΦΗΜ άμεσα και ανεμπόδιστα με το πέρας της παράδοσης καυσίμου, όπως ορίζεται στις ΠΟΛ 1195/2018 και ΠΟΛ 1218/2018 και β. Τα δεδομένα της πληρωμής με κάρτα διαβιβάζονται σε βάση δεδομένων της ΑΑΔΕ.</w:t>
      </w:r>
    </w:p>
    <w:p>
      <w:pPr>
        <w:spacing w:before="240" w:after="240"/>
        <w:rPr>
          <w:lang w:val="el" w:eastAsia="el"/>
        </w:rPr>
      </w:pPr>
      <w:r>
        <w:rPr>
          <w:b/>
          <w:bCs/>
          <w:lang w:val="el" w:eastAsia="el"/>
        </w:rPr>
        <w:t>Στο παράρτημα Β΄ δίδονται παραδείγματα τεχνικής υλοποίησης.»</w:t>
      </w:r>
    </w:p>
    <w:p>
      <w:pPr>
        <w:spacing w:before="240" w:after="240"/>
        <w:rPr>
          <w:lang w:val="el" w:eastAsia="el"/>
        </w:rPr>
      </w:pPr>
      <w:r>
        <w:rPr>
          <w:lang w:val="el" w:eastAsia="el"/>
        </w:rPr>
        <w:t xml:space="preserve">3 </w:t>
      </w:r>
      <w:r>
        <w:rPr>
          <w:b/>
          <w:bCs/>
          <w:lang w:val="el" w:eastAsia="el"/>
        </w:rPr>
        <w:t>.Προστίθεται παράγραφος 3.6 στο άρθρο 3 ως εξής:</w:t>
      </w:r>
    </w:p>
    <w:p>
      <w:pPr>
        <w:spacing w:before="240" w:after="240"/>
        <w:rPr>
          <w:lang w:val="el" w:eastAsia="el"/>
        </w:rPr>
      </w:pPr>
      <w:r>
        <w:rPr>
          <w:b/>
          <w:bCs/>
          <w:lang w:val="el" w:eastAsia="el"/>
        </w:rPr>
        <w:t>«3.6. Κατά την πληρωμή στο EFTPOS, ο χειριστής αυτού έχει, πέραν της επιλογής πληρωμής με κάρτα, την επιπρόσθετη δυνατότητα επιλογής αποδοχής πληρωμών μέσω υπηρεσιών άμεσης πληρωμής από λογαριασμό σε λογαριασμό, όπως η υπηρεσία IRIS online payments. Στην περίπτωση άμεσης πληρωμής το EFTPOS δημιουργεί QRcode με όλα τα απαραίτητα δεδομένα, προκειμένου όταν θα γίνει η ανάγνωση του QRcode από την υπηρεσία άμεσων πληρωμών που είναι διαθέσιμη μέσω της εφαρμογής mobile banking της τράπεζας του καταναλωτή αφενός να ολοκληρωθεί η πληρωμή προς τον επαγγελματικό τραπεζικό λογαριασμό της επιχείρησης, αφετέρου αυτόματα να ενημερωθεί το συγκεκριμένο EFTPOS για την επιτυχία ή την αποτυχία της πληρωμής. Εφόσον η ως άνω πληρωμή ολοκληρωθεί επιτυχώς, το EFTPOS επιστρέφει με την εντολή RESULT είτε την τιμή «IRIS», στην περίπτωση χρήσης υπηρεσίας IRIS online payments είτε την τιμή «OTHER» σε περίπτωση χρήσης άλλης υπηρεσίας άμεσης πληρωμής, στο υποπεδίο card-type.</w:t>
      </w:r>
    </w:p>
    <w:p>
      <w:pPr>
        <w:spacing w:before="240" w:after="240"/>
        <w:rPr>
          <w:lang w:val="el" w:eastAsia="el"/>
        </w:rPr>
      </w:pPr>
      <w:r>
        <w:rPr>
          <w:b/>
          <w:bCs/>
          <w:lang w:val="el" w:eastAsia="el"/>
        </w:rPr>
        <w:t>Στο πεδίο «ταυτοποίηση πληρωμής με κάρτα» καταγράφονται για κάθε πληρωμή που έγινε από EFT-POS για τους κωδικούς e.txt 355,356,358, οι ακόλουθες πληροφορίες:</w:t>
      </w:r>
    </w:p>
    <w:p>
      <w:pPr>
        <w:spacing w:before="240" w:after="240"/>
        <w:rPr>
          <w:lang w:val="el" w:eastAsia="el"/>
        </w:rPr>
      </w:pPr>
      <w:r>
        <w:rPr>
          <w:b/>
          <w:bCs/>
          <w:lang w:val="el" w:eastAsia="el"/>
        </w:rPr>
        <w:t>Session number # Acqid (που δημιουργείται από το POS και περιλαμβάνεται στο πεδίο transdata) # terminalid ( τραπεζικός αριθμός μητρώου POS TID) # rrn (τραπεζικός μοναδικός αριθμός συναλλαγής) # ημερομηνία και ώρα συναλλαγής με μορφή YYYYMMDDHHmm # amount_final (περιλαμβάνεται στο πεδίο transdata ) # txn-ecr-status # txn-type # stan # cardtype</w:t>
      </w:r>
    </w:p>
    <w:p>
      <w:pPr>
        <w:spacing w:before="240" w:after="240"/>
        <w:rPr>
          <w:lang w:val="el" w:eastAsia="el"/>
        </w:rPr>
      </w:pPr>
      <w:r>
        <w:rPr>
          <w:b/>
          <w:bCs/>
          <w:lang w:val="el" w:eastAsia="el"/>
        </w:rPr>
        <w:t>Στην περίπτωση της επιτυχούς αποδοχής πληρωμής μέσω υπηρεσιών άμεσης πληρωμής από λογαριασμό σε λογαριασμό, όπως προκύπτει από το υποπεδίο card-type της εντολής RESULT, στο τμήμα “POS TRANSACTION” της απόδειξης εσόδου, ο ΦΗΜ εκτυπώνει είτε την ένδειξη “IRIS” στην περίπτωση χρήσης υπηρεσίας IRIS online payments είτε την ένδειξη «OTHER» αν έγινε αποδοχή πληρωμής με άλλη υπηρεσία άμεσης πληρωμής αντί του είδους κάρτας (VISA, Mastercard κλπ). Επίσης, για την περίπτωση πληρωμής μέσω υπηρεσιών άμεσης πληρωμής από λογαριασμό σε λογαριασμό , η ρύθμιση timeout στην ECR της εντολής “RESULT” συνίσταται να είναι μεγαλύτερη των 210 sec.»</w:t>
      </w:r>
    </w:p>
    <w:p>
      <w:pPr>
        <w:pStyle w:val="MainText"/>
        <w:spacing w:before="120" w:after="0"/>
        <w:rPr>
          <w:lang w:val="el" w:eastAsia="el"/>
        </w:rPr>
      </w:pPr>
      <w:r>
        <w:rPr>
          <w:b/>
          <w:bCs/>
          <w:lang w:val="el" w:eastAsia="el"/>
        </w:rPr>
        <w:t>4.</w:t>
      </w:r>
      <w:r>
        <w:rPr>
          <w:lang w:val="el" w:eastAsia="el"/>
        </w:rPr>
        <w:t xml:space="preserve"> </w:t>
      </w:r>
      <w:r>
        <w:rPr>
          <w:b/>
          <w:bCs/>
          <w:lang w:val="el" w:eastAsia="el"/>
        </w:rPr>
        <w:t>To Παράρτημα μετονομάζεται σε Παράρτημα Α΄ και προστίθεται παράρτημα Β΄το οποίο και αποτελεί αναπόσπαστο μέρος της παρούσας.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Η απόφαση αυτή ισχύει από την δημοσίευσή της στην Εφημερίδα της Κυβερνήσεως πλην των παρ. 1 και 2 του άρθρου 1 οι οποίες τίθενται σε ισχύ μετά την πάροδο 12 μηνών από τη δημοσίευση της στην Εφημερίδα της Κυβερνήσεως και της παραγράφου 3 του άρθρου 1 η οποία τίθεται σε ισχύ από 1/11/2025.</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Για την εφαρμογή της παρ. 3.5 του άρθρου 3 η οποιαδήποτε τεχνική λύση είναι αποδεκτή, με την προϋπόθεση τήρησης των εξής βασικών αρχών: α. Η απόδειξη εσόδου εκδίδεται από τον ΦΗΜ άμεσα και ανεμπόδιστα, με το πέρας της παράδοσης καυσίμου, όπως ορίζεται στις ΠΟΛ 1195/2018 και ΠΟΛ 1218/2018 και β. Τα δεδομένα της πληρωμής με κάρτα διαβιβάζονται σε βάση δεδομένων της ΑΑΔΕ. Ενδεικτικά παρατίθενται οι εξής τρόποι:</w:t>
      </w:r>
    </w:p>
    <w:p>
      <w:pPr>
        <w:spacing w:before="240" w:after="240"/>
        <w:rPr>
          <w:lang w:val="el" w:eastAsia="el"/>
        </w:rPr>
      </w:pPr>
      <w:r>
        <w:rPr>
          <w:b/>
          <w:bCs/>
          <w:lang w:val="el" w:eastAsia="el"/>
        </w:rPr>
        <w:t>A’ τρόπος: Αφού έχει ήδη εκδοθεί και εκτυπωθεί η απόδειξη εσόδου, το υπολογιστικό σύστημα αιτείται από τον ΦΗΜ την δημιουργία εντολής AMOUNT για το συγκεκριμένο διασυνδεδεμένο</w:t>
      </w:r>
    </w:p>
    <w:p>
      <w:pPr>
        <w:spacing w:before="240" w:after="240"/>
        <w:rPr>
          <w:lang w:val="el" w:eastAsia="el"/>
        </w:rPr>
      </w:pPr>
      <w:r>
        <w:rPr>
          <w:b/>
          <w:bCs/>
          <w:lang w:val="el" w:eastAsia="el"/>
        </w:rPr>
        <w:t>EFTPOS. H σύνταξη της εντολής AMOUNT ορίζεται στο ενιαίο πρωτόκολλο της Α.1088/2023 απόφασης του Διοικητή της ΑΑΔΕ. Η εντολή AMOUNT αποστέλλεται κρυπτογραφημένη στο EFTPOS, το οποίο την αποκρυπτογραφεί. To EFTPOS προχωράει στην λήψη πληρωμής με κάρτα και επιστρέφει στον ΦΗΜ (άμεσα ή διαμέσου του ERP) το RESULT. Με την λήψη του RESULT, o ΦΗΜ δημιουργεί εγγραφή με κωδικό 355 όπως ορίζεται στην Α.1027/2024 απόφαση του Διοικητή της ΑΑΔΕ, την οποία αποστέλλει στο Esend μαζί με τις υπόλοιπες εγγραφές του αρχείου s.txt.</w:t>
      </w:r>
    </w:p>
    <w:p>
      <w:pPr>
        <w:spacing w:before="240" w:after="240"/>
        <w:rPr>
          <w:lang w:val="el" w:eastAsia="el"/>
        </w:rPr>
      </w:pPr>
      <w:r>
        <w:rPr>
          <w:b/>
          <w:bCs/>
          <w:lang w:val="el" w:eastAsia="el"/>
        </w:rPr>
        <w:t>Β’ τρόπος: Το EFTPOS αντλεί τα δεδομένα της ήδη εκδοθείσας απόδειξης (αριθμός μητρώου ΦΗΜ, προοδευτικός αριθμός παραστατικού, ημερομηνία – ώρα, συνολικό ποσό), τα οποία στην περίπτωση αυτή λειτουργούν ως ECRTOKEN, είτε από το QRcode, είτε από άλλο barcode της ήδη εκδοθείσας απόδειξης , και ολοκληρώνει τη διαδικασία πληρωμής με κάρτα. Στην συνέχεια, τα ως άνω δεδομένα διαβιβάζονται στο myDATA μέσω του ERP με τις διαδικασίες που ορίζονται στην Α.1155/2023 απόφαση του Διοικητή της ΑΑΔΕ.</w:t>
      </w:r>
    </w:p>
    <w:p>
      <w:pPr>
        <w:spacing w:before="240" w:after="240"/>
        <w:rPr>
          <w:lang w:val="el" w:eastAsia="el"/>
        </w:rPr>
      </w:pPr>
      <w:r>
        <w:rPr>
          <w:b/>
          <w:bCs/>
          <w:lang w:val="el" w:eastAsia="el"/>
        </w:rPr>
        <w:t>Γ’ τρόπος: Το EFTPOS αντλεί τα δεδομένα της ήδη εκδοθείσας απόδειξης (αριθμός μητρώου ΦΗΜ, προοδευτικός αριθμός παραστατικού, ημερομηνία – ώρα, συνολικό ποσό) από το QRcode, και με βάση αυτά δέχεται πληρωμή με κάρτα. Η ως άνω συναλλαγή συμπεριλαμβάνεται στις συναλλαγές που θα ενημερώσουν τον ΦΗΜ βάσει της εντολής RESEND-ALL, σύμφωνα με το πρωτόκολλο της Α.1098/2022. Με αυτό τον τρόπο, ο ΦΗΜ δημιουργεί εγγραφή e.txt με κωδικό 356.</w:t>
      </w:r>
    </w:p>
    <w:p>
      <w:pPr>
        <w:spacing w:before="240" w:after="240"/>
        <w:rPr>
          <w:lang w:val="el" w:eastAsia="el"/>
        </w:rPr>
      </w:pPr>
      <w:r>
        <w:rPr>
          <w:b/>
          <w:bCs/>
          <w:lang w:val="el" w:eastAsia="el"/>
        </w:rPr>
        <w:t>Η απόφαση αυτή, με το παράρτημα, το οποίο αποτελεί αναπόσπαστο μέρος της, να δημοσιευθεί στην Εφημερίδα της Κυβερνήσεως.</w:t>
      </w:r>
    </w:p>
    <w:p>
      <w:pPr>
        <w:spacing w:before="240" w:after="240"/>
        <w:rPr>
          <w:lang w:val="el" w:eastAsia="el"/>
        </w:rPr>
      </w:pPr>
      <w:r>
        <w:rPr>
          <w:b/>
          <w:bCs/>
          <w:lang w:val="el" w:eastAsia="el"/>
        </w:rPr>
        <w:t>Ο Διοικητής της ΑΑΔΕ 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w:t>
      </w:r>
      <w:r>
        <w:rPr>
          <w:b/>
          <w:bCs/>
          <w:lang w:val="el" w:eastAsia="el"/>
        </w:rPr>
        <w:t>Όλες οι Δ.Ο.Υ.</w:t>
      </w:r>
    </w:p>
    <w:p>
      <w:pPr>
        <w:pStyle w:val="MainText"/>
        <w:spacing w:before="120" w:after="0"/>
        <w:rPr>
          <w:lang w:val="el" w:eastAsia="el"/>
        </w:rPr>
      </w:pPr>
      <w:r>
        <w:rPr>
          <w:b/>
          <w:bCs/>
          <w:lang w:val="el" w:eastAsia="el"/>
        </w:rPr>
        <w:t>3.</w:t>
      </w:r>
      <w:r>
        <w:rPr>
          <w:lang w:val="el" w:eastAsia="el"/>
        </w:rPr>
        <w:t xml:space="preserve"> </w:t>
      </w:r>
      <w:r>
        <w:rPr>
          <w:b/>
          <w:bCs/>
          <w:lang w:val="el" w:eastAsia="el"/>
        </w:rPr>
        <w:t>Όλα τα Ελεγκτικά Κέντρα (ΕΛ.ΚΕ.)</w:t>
      </w:r>
    </w:p>
    <w:p>
      <w:pPr>
        <w:pStyle w:val="MainText"/>
        <w:spacing w:before="120" w:after="0"/>
        <w:rPr>
          <w:lang w:val="el" w:eastAsia="el"/>
        </w:rPr>
      </w:pPr>
      <w:r>
        <w:rPr>
          <w:b/>
          <w:bCs/>
          <w:lang w:val="el" w:eastAsia="el"/>
        </w:rPr>
        <w:t>4.</w:t>
      </w:r>
      <w:r>
        <w:rPr>
          <w:lang w:val="el" w:eastAsia="el"/>
        </w:rPr>
        <w:t xml:space="preserve"> </w:t>
      </w:r>
      <w:r>
        <w:rPr>
          <w:b/>
          <w:bCs/>
          <w:lang w:val="el" w:eastAsia="el"/>
        </w:rPr>
        <w:t>Κέντρο Ελέγχου Μεγάλων Φορολογουμένων (Κ.Ε.ΜΕ.Φ.)</w:t>
      </w:r>
    </w:p>
    <w:p>
      <w:pPr>
        <w:pStyle w:val="MainText"/>
        <w:spacing w:before="120" w:after="0"/>
        <w:rPr>
          <w:lang w:val="el" w:eastAsia="el"/>
        </w:rPr>
      </w:pPr>
      <w:r>
        <w:rPr>
          <w:b/>
          <w:bCs/>
          <w:lang w:val="el" w:eastAsia="el"/>
        </w:rPr>
        <w:t>5.</w:t>
      </w:r>
      <w:r>
        <w:rPr>
          <w:lang w:val="el" w:eastAsia="el"/>
        </w:rPr>
        <w:t xml:space="preserve"> </w:t>
      </w:r>
      <w:r>
        <w:rPr>
          <w:b/>
          <w:bCs/>
          <w:lang w:val="el" w:eastAsia="el"/>
        </w:rPr>
        <w:t>Κέντρο Φορολογικών Διαδικασιών και Εξυπηρέτησης Αττικής (ΚΕ.ΦΟ.Δ.Ε.)</w:t>
      </w:r>
    </w:p>
    <w:p>
      <w:pPr>
        <w:pStyle w:val="MainText"/>
        <w:spacing w:before="120" w:after="0"/>
        <w:rPr>
          <w:lang w:val="el" w:eastAsia="el"/>
        </w:rPr>
      </w:pPr>
      <w:r>
        <w:rPr>
          <w:b/>
          <w:bCs/>
          <w:lang w:val="el" w:eastAsia="el"/>
        </w:rPr>
        <w:t>6.</w:t>
      </w:r>
      <w:r>
        <w:rPr>
          <w:lang w:val="el" w:eastAsia="el"/>
        </w:rPr>
        <w:t xml:space="preserve"> </w:t>
      </w:r>
      <w:r>
        <w:rPr>
          <w:b/>
          <w:bCs/>
          <w:lang w:val="el" w:eastAsia="el"/>
        </w:rPr>
        <w:t>Όλες οι Υπηρεσίες Φορολογικής Εξυπηρέτησης (Υ.Φ.Ε.)</w:t>
      </w:r>
    </w:p>
    <w:p>
      <w:pPr>
        <w:pStyle w:val="MainText"/>
        <w:spacing w:before="120" w:after="0"/>
        <w:rPr>
          <w:lang w:val="el" w:eastAsia="el"/>
        </w:rPr>
      </w:pPr>
      <w:r>
        <w:rPr>
          <w:b/>
          <w:bCs/>
          <w:lang w:val="el" w:eastAsia="el"/>
        </w:rPr>
        <w:t>7.</w:t>
      </w:r>
      <w:r>
        <w:rPr>
          <w:lang w:val="el" w:eastAsia="el"/>
        </w:rPr>
        <w:t xml:space="preserve"> </w:t>
      </w:r>
      <w:r>
        <w:rPr>
          <w:b/>
          <w:bCs/>
          <w:lang w:val="el" w:eastAsia="el"/>
        </w:rPr>
        <w:t>Όλες οι Υπηρεσίες Ερευνών και Διασφάλισης Δημοσίων Εσόδων (Υ.Ε.Δ.Δ.Ε.)</w:t>
      </w:r>
    </w:p>
    <w:p>
      <w:pPr>
        <w:pStyle w:val="MainText"/>
        <w:spacing w:before="120" w:after="0"/>
        <w:rPr>
          <w:lang w:val="el" w:eastAsia="el"/>
        </w:rPr>
      </w:pPr>
      <w:r>
        <w:rPr>
          <w:b/>
          <w:bCs/>
          <w:lang w:val="el" w:eastAsia="el"/>
        </w:rPr>
        <w:t>8.</w:t>
      </w:r>
      <w:r>
        <w:rPr>
          <w:lang w:val="el" w:eastAsia="el"/>
        </w:rPr>
        <w:t xml:space="preserve"> </w:t>
      </w:r>
      <w:r>
        <w:rPr>
          <w:b/>
          <w:bCs/>
          <w:lang w:val="el" w:eastAsia="el"/>
        </w:rPr>
        <w:t>Όλες οι Φορολογικές Περιφέρειες</w:t>
      </w:r>
    </w:p>
    <w:p>
      <w:pPr>
        <w:pStyle w:val="MainText"/>
        <w:spacing w:before="120" w:after="0"/>
        <w:rPr>
          <w:lang w:val="el" w:eastAsia="el"/>
        </w:rPr>
      </w:pPr>
      <w:r>
        <w:rPr>
          <w:b/>
          <w:bCs/>
          <w:lang w:val="el" w:eastAsia="el"/>
        </w:rPr>
        <w:t>9.</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Υπουργού Ψηφιακής Διακυβέρνησης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Γενικής Γραμματέως Φορολογικής Πολιτικής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Επιχειρησιακού Σχεδιασμού Ελέγχων (ΔΙ.Ε.Σ.ΕΛ.)</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Προγραμματισμού και Αξιολόγησης Ελέγχων και Ερευνών (ΔΙ.Π.Α.Ε.Ε.)</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Άμεσης Φορολογίας (Δ.Ε.Α.Φ.)</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Εξυπηρέτησης (Δ.ΕΞΥ.)</w:t>
      </w:r>
    </w:p>
    <w:p>
      <w:pPr>
        <w:pStyle w:val="MainText"/>
        <w:spacing w:before="120" w:after="0"/>
        <w:rPr>
          <w:lang w:val="el" w:eastAsia="el"/>
        </w:rPr>
      </w:pPr>
      <w:r>
        <w:rPr>
          <w:b/>
          <w:bCs/>
          <w:lang w:val="el" w:eastAsia="el"/>
        </w:rPr>
        <w:t>9.</w:t>
      </w:r>
      <w:r>
        <w:rPr>
          <w:lang w:val="el" w:eastAsia="el"/>
        </w:rPr>
        <w:t xml:space="preserve">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Γραφείo Προϊσταμένου της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Γραφείo Προϊσταμένου της Γενικής Διεύθυνσης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Γραφείo Προϊσταμένης της Γενικής Διεύθυνσης Ηλεκτρονικής Διακυβέρνησης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6.</w:t>
      </w:r>
      <w:r>
        <w:rPr>
          <w:lang w:val="el" w:eastAsia="el"/>
        </w:rPr>
        <w:t xml:space="preserve"> </w:t>
      </w:r>
      <w:r>
        <w:rPr>
          <w:b/>
          <w:bCs/>
          <w:lang w:val="el" w:eastAsia="el"/>
        </w:rPr>
        <w:t>Φορολογική και Τελωνειακή Ακαδημία</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Επιχειρησιακών Διαδικασιών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ΒΑΣΙΛΕΙΟΥ ΕΥΘΥΜΙΑ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