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 ΔΙΕΥΘΥΝΣΗ ΔΙΑΔΙΚΑΣΙΩΝ ΕΙΣΠΡΑΞΕΩΝ &amp;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Τηλέφωνο: 2131410206</w:t>
      </w:r>
    </w:p>
    <w:p>
      <w:pPr>
        <w:spacing w:before="240" w:after="240"/>
        <w:rPr>
          <w:lang w:val="el" w:eastAsia="el"/>
        </w:rPr>
      </w:pPr>
      <w:r>
        <w:rPr>
          <w:b/>
          <w:bCs/>
          <w:lang w:val="el" w:eastAsia="el"/>
        </w:rPr>
        <w:t>B.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lang w:val="el" w:eastAsia="el"/>
        </w:rPr>
        <w:t>Αθήνα, 30/10/2025 Α. Π.: Α1148</w:t>
      </w:r>
    </w:p>
    <w:p>
      <w:pPr>
        <w:spacing w:before="240" w:after="240"/>
        <w:rPr>
          <w:lang w:val="el" w:eastAsia="el"/>
        </w:rPr>
      </w:pPr>
      <w:r>
        <w:rPr>
          <w:b/>
          <w:bCs/>
          <w:lang w:val="el" w:eastAsia="el"/>
        </w:rPr>
        <w:t>Α.Π.: Α 1148</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6ΤΠΠ46ΜΠ3Ζ-ΣΝΑ</w:t>
      </w:r>
    </w:p>
    <w:p>
      <w:pPr>
        <w:spacing w:before="240" w:after="240"/>
        <w:rPr>
          <w:lang w:val="el" w:eastAsia="el"/>
        </w:rPr>
      </w:pPr>
      <w:r>
        <w:rPr>
          <w:b/>
          <w:bCs/>
          <w:lang w:val="el" w:eastAsia="el"/>
        </w:rPr>
        <w:t>Αρ. ΦΕΚ : Β΄5796/31.10.2025</w:t>
      </w:r>
    </w:p>
    <w:p>
      <w:pPr>
        <w:spacing w:before="240" w:after="240"/>
        <w:rPr>
          <w:lang w:val="el" w:eastAsia="el"/>
        </w:rPr>
      </w:pPr>
      <w:r>
        <w:rPr>
          <w:b/>
          <w:bCs/>
          <w:lang w:val="el" w:eastAsia="el"/>
        </w:rPr>
        <w:t>Αθήνα, 29 Οκτωβρίου 2025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1117/2025 (Β΄4331) απόφασης του Υφυπουργού Εθνικής Οικονομίας και Οικονομικών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 Έχοντας υπόψη:</w:t>
      </w:r>
    </w:p>
    <w:p>
      <w:pPr>
        <w:spacing w:before="240" w:after="240"/>
        <w:rPr>
          <w:lang w:val="el" w:eastAsia="el"/>
        </w:rPr>
      </w:pPr>
      <w:r>
        <w:rPr>
          <w:u w:val="single"/>
          <w:lang w:val="el" w:eastAsia="el"/>
        </w:rPr>
        <w:t xml:space="preserve">1. </w:t>
      </w:r>
      <w:r>
        <w:rPr>
          <w:b/>
          <w:bCs/>
          <w:u w:val="single"/>
          <w:lang w:val="el" w:eastAsia="el"/>
        </w:rPr>
        <w:t>Τον ν. 5222/2025 «Εθνικός Τελωνειακός Κώδικας και άλλες διατάξεις – Συνταξιοδοτικές διατάξεις» (Α΄134) και ειδικότερα το άρθρο 256 και την παρ. 4 του άρθρου 267 αυτού.</w:t>
      </w:r>
    </w:p>
    <w:p>
      <w:pPr>
        <w:spacing w:before="240" w:after="240"/>
        <w:rPr>
          <w:lang w:val="el" w:eastAsia="el"/>
        </w:rPr>
      </w:pPr>
      <w:r>
        <w:rPr>
          <w:u w:val="single"/>
          <w:lang w:val="el" w:eastAsia="el"/>
        </w:rPr>
        <w:t xml:space="preserve">2. </w:t>
      </w:r>
      <w:r>
        <w:rPr>
          <w:b/>
          <w:bCs/>
          <w:u w:val="single"/>
          <w:lang w:val="el" w:eastAsia="el"/>
        </w:rPr>
        <w:t>Τον ν. 5104/2024 «Κώδικας Φορολογικής Διαδικασίας και άλλες διατάξεις» (Α΄58), (εφεξής Κ.Φ.Δ.).</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 (εφεξής Κ.Ε.Δ.Ε.).</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b/>
          <w:bCs/>
          <w:u w:val="single"/>
          <w:lang w:val="el" w:eastAsia="el"/>
        </w:rPr>
        <w:t>5.Την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u w:val="single"/>
          <w:lang w:val="el" w:eastAsia="el"/>
        </w:rPr>
        <w:t xml:space="preserve">6. </w:t>
      </w:r>
      <w:r>
        <w:rPr>
          <w:b/>
          <w:bCs/>
          <w:u w:val="single"/>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και την παρ. 1 του άρθρου 14.</w:t>
      </w:r>
    </w:p>
    <w:p>
      <w:pPr>
        <w:spacing w:before="240" w:after="240"/>
        <w:rPr>
          <w:lang w:val="el" w:eastAsia="el"/>
        </w:rPr>
      </w:pPr>
      <w:r>
        <w:rPr>
          <w:u w:val="single"/>
          <w:lang w:val="el" w:eastAsia="el"/>
        </w:rPr>
        <w:t xml:space="preserve">7.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Μεταβατικές διατάξεις» (Α΄139).</w:t>
      </w:r>
    </w:p>
    <w:p>
      <w:pPr>
        <w:spacing w:before="240" w:after="240"/>
        <w:rPr>
          <w:lang w:val="el" w:eastAsia="el"/>
        </w:rPr>
      </w:pPr>
      <w:r>
        <w:rPr>
          <w:u w:val="single"/>
          <w:lang w:val="el" w:eastAsia="el"/>
        </w:rPr>
        <w:t xml:space="preserve">8.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9. </w:t>
      </w:r>
      <w:r>
        <w:rPr>
          <w:b/>
          <w:bCs/>
          <w:u w:val="single"/>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10.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υπό στοιχεία 5294 ΕΞ2020/17-01- 2020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11. </w:t>
      </w:r>
      <w:r>
        <w:rPr>
          <w:b/>
          <w:bCs/>
          <w:u w:val="single"/>
          <w:lang w:val="el" w:eastAsia="el"/>
        </w:rPr>
        <w:t>Την από 24/10/2025 εισήγηση του Διοικητή της Ανεξάρτητης Αρχής Δημοσίων Εσόδων (ΑΑΔΕ).</w:t>
      </w:r>
    </w:p>
    <w:p>
      <w:pPr>
        <w:spacing w:before="240" w:after="240"/>
        <w:rPr>
          <w:lang w:val="el" w:eastAsia="el"/>
        </w:rPr>
      </w:pPr>
      <w:r>
        <w:rPr>
          <w:u w:val="single"/>
          <w:lang w:val="el" w:eastAsia="el"/>
        </w:rPr>
        <w:t xml:space="preserve">12. </w:t>
      </w:r>
      <w:r>
        <w:rPr>
          <w:b/>
          <w:bCs/>
          <w:u w:val="single"/>
          <w:lang w:val="el" w:eastAsia="el"/>
        </w:rPr>
        <w:t>Την από 13.10.2025 Εισήγηση της Κυβερνητικής Επιτροπής Κρατικής Αρωγής του άρθρου 13 του ν. 4797/2021 (Α΄66) – υπ’ αρ. 3/29.03.2021 (Α΄ 56) Πράξη Υπουργικού Συμβουλίου.</w:t>
      </w:r>
    </w:p>
    <w:p>
      <w:pPr>
        <w:spacing w:before="240" w:after="240"/>
        <w:rPr>
          <w:lang w:val="el" w:eastAsia="el"/>
        </w:rPr>
      </w:pPr>
      <w:r>
        <w:rPr>
          <w:u w:val="single"/>
          <w:lang w:val="el" w:eastAsia="el"/>
        </w:rPr>
        <w:t xml:space="preserve">13. </w:t>
      </w:r>
      <w:r>
        <w:rPr>
          <w:b/>
          <w:bCs/>
          <w:u w:val="single"/>
          <w:lang w:val="el" w:eastAsia="el"/>
        </w:rPr>
        <w:t>Την υπό στοιχεία Α. 1117/6.8.2025 απόφαση του Υφυπουργού Εθνικής Οικονομίας και Οικονομικών «Καθορισμός ειδικών θεμάτων και λεπτομερειών εφαρμογής των διατάξεων του άρθρου 256 του ν. 5222/2025 (Α΄ 134) περί ρύθμισης βεβαιωμένων οφειλών για τις οποίες έχει χορηγηθεί παράταση καταβολής και αναστολή είσπραξης για την αντιμετώπιση έκτακτων αναγκών λόγω της κακοκαιρίας «Daniel»» (Β΄4331).</w:t>
      </w:r>
    </w:p>
    <w:p>
      <w:pPr>
        <w:spacing w:before="240" w:after="240"/>
        <w:rPr>
          <w:lang w:val="el" w:eastAsia="el"/>
        </w:rPr>
      </w:pPr>
      <w:r>
        <w:rPr>
          <w:u w:val="single"/>
          <w:lang w:val="el" w:eastAsia="el"/>
        </w:rPr>
        <w:t xml:space="preserve">14. </w:t>
      </w:r>
      <w:r>
        <w:rPr>
          <w:b/>
          <w:bCs/>
          <w:u w:val="single"/>
          <w:lang w:val="el" w:eastAsia="el"/>
        </w:rPr>
        <w:t>Την ανάγκη τροποποίησης της υπό στοιχεία Α. 1117/2025 (Β΄4331) απόφασης του Υφυπουργού Εθνικής Οικονομίας και Οικονομικών, με σκοπό τη συνεχόμενη στήριξη των πληγέντων από τις μεγάλες σε ένταση και έκταση πλημμύρες του Σεπτεμβρίου του 2023 και τον καθορισμό λεπτομερειών της διαδικασίας στις περιπτώσεις που η υποβολή της αίτησης για υπαγωγή στη ρύθμιση του άρθρου 256 του ν. 5222/2025 (Α΄134) διενεργείται μέσω της διαδικτυακής εφαρμογής «Τα Αιτήματά μου».</w:t>
      </w:r>
    </w:p>
    <w:p>
      <w:pPr>
        <w:spacing w:before="240" w:after="240"/>
        <w:rPr>
          <w:lang w:val="el" w:eastAsia="el"/>
        </w:rPr>
      </w:pPr>
      <w:r>
        <w:rPr>
          <w:u w:val="single"/>
          <w:lang w:val="el" w:eastAsia="el"/>
        </w:rPr>
        <w:t xml:space="preserve">15. </w:t>
      </w:r>
      <w:r>
        <w:rPr>
          <w:b/>
          <w:bCs/>
          <w:u w:val="single"/>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u w:val="single"/>
          <w:lang w:val="el" w:eastAsia="el"/>
        </w:rPr>
        <w:t xml:space="preserve">16. </w:t>
      </w:r>
      <w:r>
        <w:rPr>
          <w:b/>
          <w:bCs/>
          <w:u w:val="single"/>
          <w:lang w:val="el" w:eastAsia="el"/>
        </w:rPr>
        <w:t>Το γεγονός ότι με τις διατάξεις της παρούσας τροποποιείται η διοικητική διαδικασία με επίσημο τίτλο «Ρύθμιση τμηματικής καταβολής για την αντιμετώπιση έκτακτων αναγκών λόγω της κακοκαιρίας ‘’Daniel‘’» και Μοναδικό Αριθμό Καταχώρισης (Μ.Α.Κ.) στο ΕΜΔΔ –Μίτος «863394».</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προθεσμία του πρώτου εδαφίου της παρ. 1 του άρθρου 1 της υπό στοιχεία Α1117/6.8.2025 (Β΄4331) απόφασης του Υφυπουργού Εθνικής Οικονομίας και Οικονομικών για την υποβολή αίτησης υπαγωγής στη ρύθμιση του άρθρου 256 του ν. 5222/2025 (Α΄134) παρατείνεται σύμφωνα με την από 13.10.2025 Εισήγηση της Κυβερνητικής Επιτροπής Κρατικής Αρωγής του άρθρου 13 του ν. 4797/2021 (Α΄66), η οποία συστάθηκε με την υπ΄αρ. 3/29.03.2021 (Α΄ 56) Πράξη Υπουργικού Συμβουλίου, έως και τις 31 Δεκεμβρίου 2025 και το πρώτο εδάφιο της παρ. 1 του άρθρου 1 της υπό στοιχεία Α1117/6.8.2025 (Β΄4331) απόφασης του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«Η αίτηση για υπαγωγή σε πρόγραμμα ρύθμισης των διατάξεων του άρθρου 256 του ν. 5222/2025 (Α΄134) υποβάλλεται ψηφιακά από τις 8 Αυγούστου 2025 έως και τις 31 Δεκεμβρίου 2025.».</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Μετά την παρ. 2 του άρθρου 1 της υπό στοιχεία Α1117/6.8.2025 (Β΄4331) απόφασης του Υφυπουργού Εθνικής Οικονομίας και Οικονομικών προστίθεται παρ. 2Α ως εξής:</w:t>
      </w:r>
    </w:p>
    <w:p>
      <w:pPr>
        <w:spacing w:before="240" w:after="240"/>
        <w:rPr>
          <w:lang w:val="el" w:eastAsia="el"/>
        </w:rPr>
      </w:pPr>
      <w:r>
        <w:rPr>
          <w:b/>
          <w:bCs/>
          <w:u w:val="single"/>
          <w:lang w:val="el" w:eastAsia="el"/>
        </w:rPr>
        <w:t>«2Α. Ειδικά στις περιπτώσεις που η αίτηση υποβάλλεται μέσω της διαδικτυακής εφαρμογής «Τα αιτήματά μου», εφόσον αυτή γίνει δεκτή, η αρμόδια για την επιδίωξη είσπραξης της οφειλής Yπηρεσία αποστέλλει μήνυμα στη θυρίδα του ηλεκτρονικού λογαριασμού του αιτούντος, σύμφωνα με το άρθρο 5 του Κ.Φ.Δ., με τα στοιχεία της ρύθμισης. Η υπαγωγή στη ρύθμιση συντελείται με την καταβολή ποσού που αντιστοιχεί στην πρώτη δόση αυτής εντός τριών (3) εργάσιμων ημερών από την ημερομηνία κοινοποίησης στον αιτούντα του μηνύματος του προηγούμενου εδαφίου. Οι επόμενες δόσεις είναι καταβλητέες έως την τελευταία εργάσιμη ημέρα των επόμενων μηνών από την ημερομηνία κοινοποίησης του μηνύματος του πρώτου εδαφίου.»</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Α. </w:t>
      </w:r>
      <w:r>
        <w:rPr>
          <w:b/>
          <w:bCs/>
          <w:u w:val="single"/>
          <w:lang w:val="el" w:eastAsia="el"/>
        </w:rPr>
        <w:t>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u w:val="single"/>
          <w:lang w:val="el" w:eastAsia="el"/>
        </w:rPr>
        <w:t xml:space="preserve">3. </w:t>
      </w:r>
      <w:r>
        <w:rPr>
          <w:b/>
          <w:bCs/>
          <w:u w:val="single"/>
          <w:lang w:val="el" w:eastAsia="el"/>
        </w:rPr>
        <w:t>Γενική Δ/νση Ηλεκτρονικής Διακυβέρνησης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 xml:space="preserve">Β. </w:t>
      </w: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 και Δημόσιας Περιουσίας</w:t>
      </w:r>
    </w:p>
    <w:p>
      <w:pPr>
        <w:spacing w:before="240" w:after="240"/>
        <w:rPr>
          <w:lang w:val="el" w:eastAsia="el"/>
        </w:rPr>
      </w:pPr>
      <w:r>
        <w:rPr>
          <w:u w:val="single"/>
          <w:lang w:val="el" w:eastAsia="el"/>
        </w:rPr>
        <w:t xml:space="preserve">4. </w:t>
      </w:r>
      <w:r>
        <w:rPr>
          <w:b/>
          <w:bCs/>
          <w:u w:val="single"/>
          <w:lang w:val="el" w:eastAsia="el"/>
        </w:rPr>
        <w:t>Αποδέκτες πίνακα Α, Β, Δ, Ε, ΣΤ, Ζ, Η, Θ (εκτός από το Εθνικό Τυπογραφείο), Ι, ΙΒ, ΙΔ, ΙΕ, ΙΣΤ</w:t>
      </w:r>
    </w:p>
    <w:p>
      <w:pPr>
        <w:spacing w:before="240" w:after="240"/>
        <w:rPr>
          <w:lang w:val="el" w:eastAsia="el"/>
        </w:rPr>
      </w:pPr>
      <w:r>
        <w:rPr>
          <w:u w:val="single"/>
          <w:lang w:val="el" w:eastAsia="el"/>
        </w:rPr>
        <w:t xml:space="preserve">5. </w:t>
      </w:r>
      <w:r>
        <w:rPr>
          <w:b/>
          <w:bCs/>
          <w:u w:val="single"/>
          <w:lang w:val="el" w:eastAsia="el"/>
        </w:rPr>
        <w:t>Γραφείο Γενικής Γραμματείας Φορολογικής Πολιτικής και Δημόσιας Περιουσίας</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Προϊσταμένων Γενικών Διευθύνσεων</w:t>
      </w:r>
    </w:p>
    <w:p>
      <w:pPr>
        <w:spacing w:before="240" w:after="240"/>
        <w:rPr>
          <w:lang w:val="el" w:eastAsia="el"/>
        </w:rPr>
      </w:pPr>
      <w:r>
        <w:rPr>
          <w:u w:val="single"/>
          <w:lang w:val="el" w:eastAsia="el"/>
        </w:rPr>
        <w:t xml:space="preserve">3. </w:t>
      </w:r>
      <w:r>
        <w:rPr>
          <w:b/>
          <w:bCs/>
          <w:u w:val="single"/>
          <w:lang w:val="el" w:eastAsia="el"/>
        </w:rPr>
        <w:t>Διεύθυνση Διαδικασιών Εισπράξεων και Επιστροφών -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Επιχειρησιακών Διαδικασιών</w:t>
      </w:r>
    </w:p>
    <w:p>
      <w:pPr>
        <w:spacing w:before="240" w:after="240"/>
        <w:rPr>
          <w:lang w:val="el" w:eastAsia="el"/>
        </w:rPr>
      </w:pPr>
      <w:r>
        <w:rPr>
          <w:u w:val="single"/>
          <w:lang w:val="el" w:eastAsia="el"/>
        </w:rPr>
        <w:t xml:space="preserve">5. </w:t>
      </w:r>
      <w:r>
        <w:rPr>
          <w:b/>
          <w:bCs/>
          <w:u w:val="single"/>
          <w:lang w:val="el" w:eastAsia="el"/>
        </w:rPr>
        <w:t>Διεύθυνση Ανάπτυξης Φορολογικών Εφαρμογών</w:t>
      </w:r>
    </w:p>
    <w:p>
      <w:pPr>
        <w:spacing w:before="240" w:after="240"/>
        <w:rPr>
          <w:lang w:val="el" w:eastAsia="el"/>
        </w:rPr>
      </w:pPr>
      <w:r>
        <w:rPr>
          <w:u w:val="single"/>
          <w:lang w:val="el" w:eastAsia="el"/>
        </w:rPr>
        <w:t xml:space="preserve">6. </w:t>
      </w:r>
      <w:r>
        <w:rPr>
          <w:b/>
          <w:bCs/>
          <w:u w:val="single"/>
          <w:lang w:val="el" w:eastAsia="el"/>
        </w:rPr>
        <w:t>Διεύθυνση Υπηρεσιών Δεδομένων</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