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30/10/2025</w:t>
      </w:r>
    </w:p>
    <w:p>
      <w:pPr>
        <w:pStyle w:val="Title"/>
        <w:spacing w:before="120" w:after="360"/>
        <w:rPr>
          <w:lang w:val="el" w:eastAsia="el"/>
        </w:rPr>
      </w:pPr>
      <w:r>
        <w:rPr>
          <w:lang w:val="el" w:eastAsia="el"/>
        </w:rPr>
        <w:t>Α. Π.: Α1149</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Α.Π.: A1149</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9ΚΒΝ46ΜΠ3Ζ-186</w:t>
      </w:r>
    </w:p>
    <w:p>
      <w:pPr>
        <w:spacing w:before="240" w:after="240"/>
        <w:rPr>
          <w:lang w:val="el" w:eastAsia="el"/>
        </w:rPr>
      </w:pPr>
      <w:r>
        <w:rPr>
          <w:b/>
          <w:bCs/>
          <w:lang w:val="el" w:eastAsia="el"/>
        </w:rPr>
        <w:t>Αριθ. ΦΕΚ: Β΄5797 /31.10.2025</w:t>
      </w:r>
    </w:p>
    <w:p>
      <w:pPr>
        <w:spacing w:before="240" w:after="240"/>
        <w:rPr>
          <w:lang w:val="el" w:eastAsia="el"/>
        </w:rPr>
      </w:pPr>
      <w:r>
        <w:rPr>
          <w:b/>
          <w:bCs/>
          <w:lang w:val="el" w:eastAsia="el"/>
        </w:rPr>
        <w:t>Αθήνα, 29 Οκτωβρίου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2131410103, 2131410119</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επιχειρήσεων στο κτίριο επί της οδού Αρκαδίας 4 στους Αμπελόκηπους Αθηνών»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 Φορολογικής Διαδικασίας»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u w:val="single"/>
          <w:lang w:val="el" w:eastAsia="el"/>
        </w:rPr>
        <w:t xml:space="preserve">8.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9.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11. </w:t>
      </w:r>
      <w:r>
        <w:rPr>
          <w:b/>
          <w:bCs/>
          <w:u w:val="single"/>
          <w:lang w:val="el" w:eastAsia="el"/>
        </w:rPr>
        <w:t>Την από 14.01.2025 Εισήγηση της Κυβερνητικής Επιτροπής Κρατικής Αρωγής (Κ.Ε.Κ.Α.) του άρθρου 13 του ν. 4797/2021 (Α΄66), η οποία συστάθηκε με την υπ΄αρ. 3/29.3.2021 Πράξη Υπουργικού Συμβουλίου (Α΄ 56).</w:t>
      </w:r>
    </w:p>
    <w:p>
      <w:pPr>
        <w:spacing w:before="240" w:after="240"/>
        <w:rPr>
          <w:lang w:val="el" w:eastAsia="el"/>
        </w:rPr>
      </w:pPr>
      <w:r>
        <w:rPr>
          <w:u w:val="single"/>
          <w:lang w:val="el" w:eastAsia="el"/>
        </w:rPr>
        <w:t xml:space="preserve">12. </w:t>
      </w:r>
      <w:r>
        <w:rPr>
          <w:b/>
          <w:bCs/>
          <w:u w:val="single"/>
          <w:lang w:val="el" w:eastAsia="el"/>
        </w:rPr>
        <w:t>Το γεγονός ότι το συμβάν (έκρηξη) της 31.10.2024 επί της οδού Αρκαδίας 4 στους Αμπελόκηπους Αθηνών είχε ως αποτέλεσμα να απορρυθμιστεί η κοινωνική και οικονομική ζωή των επιχειρήσεων στo κτίριο επί της οδού αυτής.</w:t>
      </w:r>
    </w:p>
    <w:p>
      <w:pPr>
        <w:spacing w:before="240" w:after="240"/>
        <w:rPr>
          <w:lang w:val="el" w:eastAsia="el"/>
        </w:rPr>
      </w:pPr>
      <w:r>
        <w:rPr>
          <w:u w:val="single"/>
          <w:lang w:val="el" w:eastAsia="el"/>
        </w:rPr>
        <w:t xml:space="preserve">13.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u w:val="single"/>
          <w:lang w:val="el" w:eastAsia="el"/>
        </w:rPr>
        <w:t xml:space="preserve">14.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Παρατείνονται μέχρι και την 30.04.2026 οι προθεσμίες καταβολής των βεβαιωμένων στις Δ.Ο.Υ./Κ.Ε.ΜΕ.Φ./ ΚΕ.Β.ΕΙΣ. οφειλών, που λήγουν ή έληξαν από 31.10.2024 μέχρι και 30.04.2026, των επιχειρήσεων με εγκαταστάσεις (έδρα ή υποκατάστημα ή αποθήκη) στο κτίριο επί της οδού Αρκαδίας 4 στους Αμπελόκηπους Αθηνών με ταχυδρομικό κώδικα 11526, που πιστοποιήθηκαν ως πληγείσες και τα στοιχεία τους απεστάλησαν από τη Γενική Γραμματεία Αποκατάστασης Φυσικών Καταστροφών και Κρατικής Αρωγής του Υπουργείου Κλιματικής Κρίσης και Πολιτικής Προστασίας και ταυτοποιήθηκαν από την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 31.10.2024 μέχρι και 30.04.2026 για τα πρόσωπα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Τυχόν καταβληθείσες προσαυξήσεις / τόκοι / επιβαρύνσεις εκπρόθεσμης καταβολής που επιβλήθηκαν στις οφειλές της παρ. 1 από τις 31.10.2024 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της παρ. 2 που τυχόν απωλέσθηκαν από τις 31.10.2024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2.</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ΟΙΚΟΝΟΜΙΚΩΝΓΕΩΡΓΙΟΣ ΚΩΤΣΗΡΑΣΠΙΝΑΚΑΣ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