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14/11/2025</w:t>
      </w:r>
    </w:p>
    <w:p>
      <w:pPr>
        <w:pStyle w:val="Title"/>
        <w:spacing w:before="120" w:after="360"/>
        <w:rPr>
          <w:lang w:val="el" w:eastAsia="el"/>
        </w:rPr>
      </w:pPr>
      <w:r>
        <w:rPr>
          <w:lang w:val="el" w:eastAsia="el"/>
        </w:rPr>
        <w:t>Α. Π.: Εισερχ. Α1159</w:t>
      </w:r>
    </w:p>
    <w:p>
      <w:pPr>
        <w:pStyle w:val="Title"/>
        <w:spacing w:before="120" w:after="360"/>
        <w:rPr>
          <w:lang w:val="el" w:eastAsia="el"/>
        </w:rPr>
      </w:pPr>
      <w:r>
        <w:rPr>
          <w:lang w:val="el" w:eastAsia="el"/>
        </w:rPr>
        <w:t>Α. Π. Αποστολέα: Α1159 Ημ/νία Αποστολής: 14/11/2025</w:t>
      </w:r>
    </w:p>
    <w:p>
      <w:pPr>
        <w:pStyle w:val="Title"/>
        <w:spacing w:before="120" w:after="360"/>
        <w:rPr>
          <w:lang w:val="el" w:eastAsia="el"/>
        </w:rPr>
      </w:pPr>
      <w:r>
        <w:rPr>
          <w:b/>
          <w:bCs/>
          <w:lang w:val="el" w:eastAsia="el"/>
        </w:rPr>
        <w:t>ΑΔΑ: ΨΓΛΖ46ΜΠ3Ζ-ΓΣΦ</w:t>
      </w:r>
    </w:p>
    <w:p>
      <w:pPr>
        <w:pStyle w:val="Title"/>
        <w:spacing w:before="120" w:after="360"/>
        <w:rPr>
          <w:lang w:val="el" w:eastAsia="el"/>
        </w:rPr>
      </w:pPr>
      <w:r>
        <w:rPr>
          <w:b/>
          <w:bCs/>
          <w:lang w:val="el" w:eastAsia="el"/>
        </w:rPr>
        <w:t>Αριθ. ΦΕΚ: Β’ 6125/17.11.2025</w:t>
      </w:r>
    </w:p>
    <w:p>
      <w:pPr>
        <w:pStyle w:val="Title"/>
        <w:spacing w:before="120" w:after="360"/>
        <w:rPr>
          <w:lang w:val="el" w:eastAsia="el"/>
        </w:rPr>
      </w:pPr>
      <w:r>
        <w:rPr>
          <w:b/>
          <w:bCs/>
          <w:lang w:val="el" w:eastAsia="el"/>
        </w:rPr>
        <w:t>Αθήνα, 14 Νοεμβρίου 2025</w:t>
      </w:r>
    </w:p>
    <w:p>
      <w:pPr>
        <w:pStyle w:val="Title"/>
        <w:spacing w:before="120" w:after="360"/>
        <w:rPr>
          <w:lang w:val="el" w:eastAsia="el"/>
        </w:rPr>
      </w:pPr>
      <w:r>
        <w:rPr>
          <w:b/>
          <w:bCs/>
          <w:lang w:val="el" w:eastAsia="el"/>
        </w:rPr>
        <w:t>Α.1159</w:t>
      </w:r>
    </w:p>
    <w:p>
      <w:pPr>
        <w:pStyle w:val="Title"/>
        <w:spacing w:before="120" w:after="360"/>
        <w:rPr>
          <w:lang w:val="el" w:eastAsia="el"/>
        </w:rPr>
      </w:pPr>
      <w:r>
        <w:rPr>
          <w:b/>
          <w:bCs/>
          <w:lang w:val="el" w:eastAsia="el"/>
        </w:rPr>
        <w:t>Α) ΓΕΝΙΚΗ ΔΙΕΥΘΥΝΣΗ ΦΟΡΟΛΟΓΙΑΣ</w:t>
      </w:r>
    </w:p>
    <w:p>
      <w:pPr>
        <w:pStyle w:val="Title"/>
        <w:spacing w:before="120" w:after="360"/>
        <w:rPr>
          <w:lang w:val="el" w:eastAsia="el"/>
        </w:rPr>
      </w:pPr>
      <w:r>
        <w:rPr>
          <w:b/>
          <w:bCs/>
          <w:lang w:val="el" w:eastAsia="el"/>
        </w:rPr>
        <w:t>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I. 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ΙΙ. ΔΙΕΥΘΥΝΣΗ ΑΝΑΠΤΥΞΗΣ ΦΟΡΟΛΟΓΙΚΩΝ ΕΦΑΡΜΟΓΩΝ</w:t>
      </w:r>
    </w:p>
    <w:p>
      <w:pPr>
        <w:spacing w:before="240" w:after="240"/>
        <w:rPr>
          <w:lang w:val="el" w:eastAsia="el"/>
        </w:rPr>
      </w:pPr>
      <w:r>
        <w:rPr>
          <w:b/>
          <w:bCs/>
          <w:lang w:val="el" w:eastAsia="el"/>
        </w:rPr>
        <w:t>ΙII. ΔΙΕΥΘΥΝΣΗ ΕΠΙΧΕΙΡΗΣΙΑΚΩΝ ΔΙΑΔΙΚΑΣΙΩΝ</w:t>
      </w:r>
    </w:p>
    <w:p>
      <w:pPr>
        <w:spacing w:before="240" w:after="240"/>
        <w:rPr>
          <w:lang w:val="el" w:eastAsia="el"/>
        </w:rPr>
      </w:pPr>
      <w:r>
        <w:rPr>
          <w:b/>
          <w:bCs/>
          <w:lang w:val="el" w:eastAsia="el"/>
        </w:rPr>
        <w:t>ΙΙIΙ. ΔΙΕΥΘΥΝΣΗ ΣΤΡΑΤΗΓΙΚΗΣ ΤΕΧΝΟΛΟΓΙΩΝ ΠΛΗΡΟΦΟΡΙΚΗΣ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Τροποποίηση της υπό στοιχεία Α.1054/10.4.2024 απόφασης του Διοικητή της Ανεξάρτητης Αρχής Δημοσίων Εσόδων με θέμα «Καθορισμός του τύπου, του περιεχομένου, της διαδικασίας και του χρόνου υποβολής της Δήλωσης Συμβατότητας που συντάσσουν οι οντότητες με αντικείμενο δραστηριότητας την εισαγωγή, κατασκευή και εμπορία ΦΗΜ καθώς και οι οντότητες που δραστηριοποιούνται στον τομέα της κατασκευής και της τεχνικής υποστήριξης Εμπορικών/Λογιστικών Προγραμμάτων Διαχείρισης (ERP), αναφορικά με τις απαιτήσεις λειτουργίας και διασύνδεσης τύπων ΦΗΜ ή Εμπορικών/Λογιστικών Προγραμμάτων Διαχείρισης (ERP) που χρησιμοποιούν οι υπόχρεες οντότητες του άρθρου 1 του ν.4308/2014 (Α΄251) με τύπους τερματικών EFT/POS, καθώς και κάθε άλλου ειδικότερου θέματος για την εφαρμογή των διατάξεων του άρθρου 15Β του ν.4987/2022 (ΚΦΔ).»</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Tης περ. β) της παρ. 17 του άρθρου 83 και της παρ. 3 του άρθρου 17 του ν.5104/2024 «Κώδικας Φορολογικής Διαδικασίας και άλλες διατάξεις» (Α΄58),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Tης υπό στοιχεία Α.1137/06.09.2023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Α.1155/09.10.2023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 – Διόρθωση Σφάλματος Β’ 6514),</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Α.1098/13.07.2022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Α.1157/12.10.2023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Α.1112/01.08.2025 απόφασης του Διοικητή της Ανεξάρτητης Αρχής Δημοσίων Εσόδων (ΑΑΔΕ) «Υποχρεώσεις Παρόχων Υπηρεσιών Ηλεκτρονικής Έκδοσης Στοιχείων και διαδικασίες ελέγχου παροχής υπηρεσιών ηλεκτρονικής έκδοσης στοιχείων» (Β’ 4206), στ) της υπό στοιχεία Α.1156/12.10.2023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(Κ.Υ.Δ.)» (Β΄5993),</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ΠΟΛ.1068/24.03.2015 απόφασης της Γενικής Γραμματέα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κατόχων-χρηστών ΦΗΜ» (Β΄497),</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Α.1054/2024 απόφασης του Διοικητή της Ανεξάρτητης Αρχής Δημοσίων Εσόδων «Καθορισμός του τύπου, του περιεχομένου, της διαδικασίας και του χρόνου υποβολής της Δήλωσης Συμβατότητας που συντάσσουν οι οντότητες με αντικείμενο δραστηριότητας την εισαγωγή, κατασκευή και εμπορία ΦΗΜ καθώς και οι οντότητες που δραστηριοποιούνται στον τομέα της κατασκευής και της τεχνικής υποστήριξης Εμπορικών/Λογιστικών Προγραμμάτων Διαχείρισης (ERP), αναφορικά με τις απαιτήσεις λειτουργίας και διασύνδεσης τύπων ΦΗΜ ή Εμπορικών/Λογιστικών Προγραμμάτων Διαχείρισης (ERP) που χρησιμοποιούν οι υπόχρεες οντότητες του άρθρου 1 του ν.4308/2014 (Α΄251) με τύπους τερματικών EFT/POS, καθώς και κάθε άλλου ειδικότερου θέματος για την εφαρμογή των διατάξεων του άρθρου 15Β του ν.4987/2022 (ΚΦΔ)» (Β΄2197).</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ανάγκη επικαιροποίησης των Δηλώσεων Συμβατότητας αναφορικά με τη συμμόρφωση ως προς τις απαιτήσεις λειτουργίας και διασύνδεσης με την ΑΑΔΕ των ΦΗΜ και των Εμπορικών/Λογιστικών Προγραμμάτων Διαχείρισης (ERP), για την αποδοχή υπηρεσιών άμεσης πληρωμής από λογαριασμό σε λογαριασμό, με σκοπό την ορθή εκπλήρωση των υποχρεώσεων των οντοτήτων του άρθρου 1 του ν. 4308/2014 που απορρέουν από τα οριζόμενα στο άρθρο 17 ΚΦΔ.</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w:t>
      </w:r>
    </w:p>
    <w:p>
      <w:pPr>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Α.1054/2024 απόφαση του Διοικητή της ΑΑΔΕ «Καθορισμός του τύπου, του περιεχομένου, της διαδικασίας και του χρόνου υποβολής της Δήλωσης Συμβατότητας που συντάσσουν οι οντότητες με αντικείμενο δραστηριότητας την εισαγωγή, κατασκευή και εμπορία ΦΗΜ καθώς και οι οντότητες που δραστηριοποιούνται στον τομέα της κατασκευής και της τεχνικής υποστήριξης Εμπορικών/Λογιστικών Προγραμμάτων Διαχείρισης (ERP), αναφορικά με τις απαιτήσεις λειτουργίας και διασύνδεσης τύπων ΦΗΜ ή Εμπορικών/Λογιστικών Προγραμμάτων Διαχείρισης (ERP) που χρησιμοποιούν οι υπόχρεες οντότητες του άρθρου 1 του ν.4308/2014 (Α΄251) με τύπους τερματικών EFT/POS, καθώς και κάθε άλλου ειδικότερου θέματος για την εφαρμογή των διατάξεων του άρθρου 15Β του ν.4987/2022 (ΚΦΔ)»(Β΄2197),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Σύμφωνα με το άρθρο 85 του ν. 5104/2024, όπου στην απόφαση αναφέρεται «παρ. 4 του άρθρου 15Β» νοείται η «παρ. 3 του άρθρου 17», το άρθρο «15Β» ΚΦΔ νοείται το άρθρο «17» ΚΦΔ, όπου αναφέρεται «παρ. 2 του άρθρου 15Γ ΚΦΔ νοείται η «παρ. 18 του άρθρου 83» ΚΦΔ, όπου αναφέρεται «15Γ» ΚΦΔ νοείται το άρθρο «18» ΚΦΔ., όπου αναφέρεται «άρθρο «54Θ» ή «παρ. 3 του άρθρου 54Θ» ή παρ. 4 του άρθρου 54Θ» νοείται το «άρθρο 63» και όπου αναφέρεται «παρ. 5 του άρθρου 54Θ» νοείται η «περ. ι) της παρ. 50 του άρθρου 83».</w:t>
      </w:r>
    </w:p>
    <w:p>
      <w:pPr>
        <w:pStyle w:val="MainText"/>
        <w:spacing w:before="120" w:after="0"/>
        <w:rPr>
          <w:lang w:val="el" w:eastAsia="el"/>
        </w:rPr>
      </w:pPr>
      <w:r>
        <w:rPr>
          <w:b/>
          <w:bCs/>
          <w:lang w:val="el" w:eastAsia="el"/>
        </w:rPr>
        <w:t>2.</w:t>
      </w:r>
      <w:r>
        <w:rPr>
          <w:lang w:val="el" w:eastAsia="el"/>
        </w:rPr>
        <w:t xml:space="preserve"> </w:t>
      </w:r>
      <w:r>
        <w:rPr>
          <w:b/>
          <w:bCs/>
          <w:lang w:val="el" w:eastAsia="el"/>
        </w:rPr>
        <w:t>Το πρώτο εδάφιο του διατακτικού της απόφασης αντικαθίσταται ως εξής:</w:t>
      </w:r>
    </w:p>
    <w:p>
      <w:pPr>
        <w:spacing w:before="240" w:after="240"/>
        <w:rPr>
          <w:lang w:val="el" w:eastAsia="el"/>
        </w:rPr>
      </w:pPr>
      <w:r>
        <w:rPr>
          <w:b/>
          <w:bCs/>
          <w:lang w:val="el" w:eastAsia="el"/>
        </w:rPr>
        <w:t>«Ορίζουμε τον τύπο, το περιεχόμενο, τη διαδικασία και τον χρόνο υποβολής Δήλωσης Συμβατότητας που υποβάλλουν: (α) οι οντότητες με έδρα ή μόνιμη εγκατάσταση στην Ελλάδα και αντικείμενο δραστηριότητας την εισαγωγή, κατασκευή και εμπορία ΦΗΜ αναφορικά με τις απαιτήσεις λειτουργίας και διασύνδεσης τύπων ΦΗΜ που χρησιμοποιούν οι υπόχρεες οντότητες του άρθρου 1 του ν. 4308/2014 (Α' 251) με τύπους τερματικών EFT/POS και (β) οι οντότητες που δραστηριοποιούνται στην ελληνική επικράτεια στον τομέα της κατασκευής και τεχνικής υποστήριξης, εγκατάστασης και λειτουργίας Εμπορικών/Λογιστικών Προγραμμάτων Διαχείρισης (ERP) αναφορικά με τις απαιτήσεις λειτουργίας και διασύνδεσης Εμπορικών/Λογιστικών Προγραμμάτων Διαχείρισης (ERP) που χρησιμοποιούν οι υπόχρεες οντότητες του άρθρου 1 του ν.4308/2014 (Α' 251), με τύπους τερματικών EFT/POS ή με λογισμικά Παρόχων Ηλεκτρονικής έκδοσης Στοιχείων (ΥΠΑΗΕΣ) για την αποδοχή πληρωμών μέσω υπηρεσιών άμεσης πληρωμής από λογαριασμό σε λογαριασμό, όπως η υπηρεσία IRIS payment».</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4 του άρθρου 1 αντικαθίσταται ως εξής:</w:t>
      </w:r>
    </w:p>
    <w:p>
      <w:pPr>
        <w:spacing w:before="240" w:after="240"/>
        <w:rPr>
          <w:lang w:val="el" w:eastAsia="el"/>
        </w:rPr>
      </w:pPr>
      <w:r>
        <w:rPr>
          <w:b/>
          <w:bCs/>
          <w:lang w:val="el" w:eastAsia="el"/>
        </w:rPr>
        <w:t>«4. 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ν.4308/2014, την παροχή και εγκατάσταση λογισμικού στα τερματικά, τις υπηρεσίες συντήρησης/επισκευής επί του τερματικού, καθώς και τη συλλογή και τη διόδευση συναλλαγών για λογαριασμό των Παρόχων Υπηρεσιών Πληρωμών (Acquirer) ή του Συστήματος Ηλεκτρονικών Πληρωμών (όπως το διατραπεζικό σύστημα ΔΙΑΣ). Ο Πάροχος Μέσων Πληρωμών (NSP) δύναται να συμβάλλεται τόσο με Πάροχο Υπηρεσιών Πληρωμών (Acquirer) όσο και απευθείας με τις υπόχρεες οντότητες του άρθρου 1 του ν. 4308/2014».</w:t>
      </w:r>
    </w:p>
    <w:p>
      <w:pPr>
        <w:pStyle w:val="MainText"/>
        <w:spacing w:before="120" w:after="0"/>
        <w:rPr>
          <w:lang w:val="el" w:eastAsia="el"/>
        </w:rPr>
      </w:pPr>
      <w:r>
        <w:rPr>
          <w:b/>
          <w:bCs/>
          <w:lang w:val="el" w:eastAsia="el"/>
        </w:rPr>
        <w:t>4.</w:t>
      </w:r>
      <w:r>
        <w:rPr>
          <w:lang w:val="el" w:eastAsia="el"/>
        </w:rPr>
        <w:t xml:space="preserve"> </w:t>
      </w:r>
      <w:r>
        <w:rPr>
          <w:b/>
          <w:bCs/>
          <w:lang w:val="el" w:eastAsia="el"/>
        </w:rPr>
        <w:t>Η παρ. 5 του άρθρου 1 αντικαθίσταται ως εξής:</w:t>
      </w:r>
    </w:p>
    <w:p>
      <w:pPr>
        <w:spacing w:before="240" w:after="240"/>
        <w:rPr>
          <w:lang w:val="el" w:eastAsia="el"/>
        </w:rPr>
      </w:pPr>
      <w:r>
        <w:rPr>
          <w:b/>
          <w:bCs/>
          <w:lang w:val="el" w:eastAsia="el"/>
        </w:rPr>
        <w:t>«5. 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(Αcquirer), που χρησιμοποιείται για την εκκίνηση εντολής πληρωμής με κάρτα, καθώς και για την αποδοχή πληρωμών μέσω υπηρεσιών άμεσης πληρωμής από λογαριασμό σε λογαριασμό, όπως η υπηρεσία IRIS payments. Ειδικότερα, περιλαμβάνονται όλες οι διαθέσιμες συσκευές</w:t>
      </w:r>
    </w:p>
    <w:p>
      <w:pPr>
        <w:spacing w:before="240" w:after="240"/>
        <w:rPr>
          <w:lang w:val="el" w:eastAsia="el"/>
        </w:rPr>
      </w:pPr>
      <w:r>
        <w:rPr>
          <w:b/>
          <w:bCs/>
          <w:lang w:val="el" w:eastAsia="el"/>
        </w:rPr>
        <w:t>(πχ.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 καθώς και για την αποδοχή πληρωμών στο Σημείο Πώλησης, μέσω υπηρεσιών άμεσης πληρωμής από λογαριασμό σε λογαριασμό, όπως η υπηρεσία IRIS payments».</w:t>
      </w:r>
    </w:p>
    <w:p>
      <w:pPr>
        <w:pStyle w:val="MainText"/>
        <w:spacing w:before="120" w:after="0"/>
        <w:rPr>
          <w:lang w:val="el" w:eastAsia="el"/>
        </w:rPr>
      </w:pPr>
      <w:r>
        <w:rPr>
          <w:b/>
          <w:bCs/>
          <w:lang w:val="el" w:eastAsia="el"/>
        </w:rPr>
        <w:t>5.</w:t>
      </w:r>
      <w:r>
        <w:rPr>
          <w:lang w:val="el" w:eastAsia="el"/>
        </w:rPr>
        <w:t xml:space="preserve"> </w:t>
      </w:r>
      <w:r>
        <w:rPr>
          <w:b/>
          <w:bCs/>
          <w:lang w:val="el" w:eastAsia="el"/>
        </w:rPr>
        <w:t>Η παρ. 10 του άρθρου 1 αντικαθίσταται ως εξής:</w:t>
      </w:r>
    </w:p>
    <w:p>
      <w:pPr>
        <w:spacing w:before="240" w:after="240"/>
        <w:rPr>
          <w:lang w:val="el" w:eastAsia="el"/>
        </w:rPr>
      </w:pPr>
      <w:r>
        <w:rPr>
          <w:b/>
          <w:bCs/>
          <w:lang w:val="el" w:eastAsia="el"/>
        </w:rPr>
        <w:t>«.10. Ως “Δήλωση Συμβατότητας”: Η δήλωση συμβατότητας της παρ. 3 του άρθρου 17 ΚΦΔ που έχουν υποχρέωση να υποβάλουν στην ΑΑΔΕ: (α) οι οντότητες με έδρα ή μόνιμη εγκατάσταση στην Ελλάδα και αντικείμενο δραστηριότητας την εισαγωγή, κατασκευή και εμπορία Φορολογικών Ηλεκτρονικών Μηχανισμών (ΦΗΜ) με την υποβολή της οποίας βεβαιώνουν ότι οι τύποι ΦΗΜ που έχουν ή πρόκειται να λάβουν άδεια καταλληλότητας είναι συμβατοί με τους τύπους Μέσων Πληρωμών που συμπεριλαμβάνονται στις δηλώσεις συμμόρφωσης της παρ. 2 του άρθρου 18 και (β) οι οντότητες που δραστηριοποιούνται στην ελληνική επικράτεια στον τομέα της κατασκευής και τεχνικής υποστήριξης, εγκατάστασης και λειτουργίας Εμπορικών/Λογιστικών Προγραμμάτων Διαχείρισης (ERP), με την υποβολή της οποίας βεβαιώνουν ότι τα Εμπορικά/Λογιστικά Προγράμματα Διαχείρισης (ERP) είναι συμβατά με τους τύπους Μέσων Πληρωμών που συμπεριλαμβάνονται στις δηλώσεις συμμόρφωσης της παρ. 2 του άρθρου 18, καθώς και με τα λογισμικά των Παρόχων Ηλεκτρονικής έκδοσης Στοιχείων (ΥΠΑΗΕΣ) που έχουν πιστοποιηθεί από την Επιτροπή Ελέγχου Καταλληλότητας λογισμικού Παρόχου ή Ιδιοπαρόχου Ηλεκτρονικής Έκδοσης Στοιχείων της υπό στοιχεία Α.1112/2025 απόφασης του Διοικητή ΑΑΔΕ για την παροχή υπηρεσιών αποδοχής αμέσων πληρωμών, όπως η υπηρεσία IRIS payment».</w:t>
      </w:r>
    </w:p>
    <w:p>
      <w:pPr>
        <w:pStyle w:val="MainText"/>
        <w:spacing w:before="120" w:after="0"/>
        <w:rPr>
          <w:lang w:val="el" w:eastAsia="el"/>
        </w:rPr>
      </w:pPr>
      <w:r>
        <w:rPr>
          <w:b/>
          <w:bCs/>
          <w:lang w:val="el" w:eastAsia="el"/>
        </w:rPr>
        <w:t>6.</w:t>
      </w:r>
      <w:r>
        <w:rPr>
          <w:lang w:val="el" w:eastAsia="el"/>
        </w:rPr>
        <w:t xml:space="preserve"> </w:t>
      </w:r>
      <w:r>
        <w:rPr>
          <w:b/>
          <w:bCs/>
          <w:lang w:val="el" w:eastAsia="el"/>
        </w:rPr>
        <w:t>Στο άρθρο 1 προστίθεται παρ. 11 ως εξής:</w:t>
      </w:r>
    </w:p>
    <w:p>
      <w:pPr>
        <w:spacing w:before="240" w:after="240"/>
        <w:rPr>
          <w:lang w:val="el" w:eastAsia="el"/>
        </w:rPr>
      </w:pPr>
      <w:r>
        <w:rPr>
          <w:b/>
          <w:bCs/>
          <w:lang w:val="el" w:eastAsia="el"/>
        </w:rPr>
        <w:t>«11. Ως “υπηρεσίες άμεσης πληρωμής” ορίζονται οι υπηρεσίες πληρωμών που επιτρέπουν τη μεταφορά πίστωσης, η οποία μπορεί να εκτελείται σε εικοσιτετράωρη βάση, οποιαδήποτε ημερολογιακή ημέρα του έτους, με άμεσο ή σχεδόν άμεσο διακανονισμό».</w:t>
      </w:r>
    </w:p>
    <w:p>
      <w:pPr>
        <w:pStyle w:val="MainText"/>
        <w:spacing w:before="120" w:after="0"/>
        <w:rPr>
          <w:lang w:val="el" w:eastAsia="el"/>
        </w:rPr>
      </w:pPr>
      <w:r>
        <w:rPr>
          <w:b/>
          <w:bCs/>
          <w:lang w:val="el" w:eastAsia="el"/>
        </w:rPr>
        <w:t>7.</w:t>
      </w:r>
      <w:r>
        <w:rPr>
          <w:lang w:val="el" w:eastAsia="el"/>
        </w:rPr>
        <w:t xml:space="preserve"> </w:t>
      </w:r>
      <w:r>
        <w:rPr>
          <w:b/>
          <w:bCs/>
          <w:lang w:val="el" w:eastAsia="el"/>
        </w:rPr>
        <w:t>Το άρθρο 2 αντικαθίσταται ως εξής:</w:t>
      </w:r>
    </w:p>
    <w:p>
      <w:pPr>
        <w:spacing w:before="240" w:after="240"/>
        <w:rPr>
          <w:lang w:val="el" w:eastAsia="el"/>
        </w:rPr>
      </w:pPr>
      <w:r>
        <w:rPr>
          <w:b/>
          <w:bCs/>
          <w:lang w:val="el" w:eastAsia="el"/>
        </w:rPr>
        <w:t>«Οι οντότητες με αντικείμενο δραστηριότητας την εισαγωγή, κατασκευή και εμπορία ΦΗΜ, με έδρα ή μόνιμη εγκατάσταση στην Ελλάδα, δηλώνουν τη συμβατότητα των τύπων ΦΗΜ που διαθέτουν ή πρόκειται να λάβουν άδεια καταλληλότητας με τους τύπους Μέσων Πληρωμών σχετικά με τις απαιτήσεις λειτουργίας και διασύνδεσης με την ΑΑΔΕ, σύμφωνα με το άρθρο 17 ΚΦΔ, ως ορίζεται στο υπόδειγμα, που επισυνάπτεται ως παράρτημα στην παρούσα και αποτελεί αναπόσπαστο μέρος αυτής.</w:t>
      </w:r>
    </w:p>
    <w:p>
      <w:pPr>
        <w:spacing w:before="240" w:after="240"/>
        <w:rPr>
          <w:lang w:val="el" w:eastAsia="el"/>
        </w:rPr>
      </w:pPr>
      <w:r>
        <w:rPr>
          <w:b/>
          <w:bCs/>
          <w:lang w:val="el" w:eastAsia="el"/>
        </w:rPr>
        <w:t>Οι οντότητες που δραστηριοποιούνται στην ελληνική επικράτεια στον τομέα της κατασκευής και τεχνικής υποστήριξης, εγκατάστασης και λειτουργίας Εμπορικών/Λογιστικών Προγραμμάτων Διαχείρισης (ERP) δηλώνουν τη συμβατότητα των Εμπορικών/Λογιστικών Προγραμμάτων Διαχείρισης (ERP) με τους τύπους Μέσων Πληρωμών, σχετικά με τις απαιτήσεις λειτουργίας και διασύνδεσης με την ΑΑΔΕ, σύμφωνα με το άρθρο 17 ΚΦΔ, καθώς και με τα λογισμικά των Παρόχων Ηλεκτρονικής Έκδοσης Στοιχείων (ΥΠΑΗΕΣ) που έχουν πιστοποιηθεί από την Επιτροπή Ελέγχου Καταλληλότητας λογισμικού Παρόχου ή Ιδιοπαρόχου Ηλεκτρονικής Έκδοσης Στοιχείων της υπό στοιχεία Α.1112/2025 απόφασης του Διοικητή ΑΑΔΕ για την παροχή υπηρεσιών αποδοχής αμέσων πληρωμών, όπως η υπηρεσία IRIS payment, ως ορίζεται στο υπόδειγμα, που επισυνάπτεται ως παράρτημα στην παρούσα και αποτελεί αναπόσπαστο μέρος αυτής».</w:t>
      </w:r>
    </w:p>
    <w:p>
      <w:pPr>
        <w:pStyle w:val="MainText"/>
        <w:spacing w:before="120" w:after="0"/>
        <w:rPr>
          <w:lang w:val="el" w:eastAsia="el"/>
        </w:rPr>
      </w:pPr>
      <w:r>
        <w:rPr>
          <w:b/>
          <w:bCs/>
          <w:lang w:val="el" w:eastAsia="el"/>
        </w:rPr>
        <w:t>8.</w:t>
      </w:r>
      <w:r>
        <w:rPr>
          <w:lang w:val="el" w:eastAsia="el"/>
        </w:rPr>
        <w:t xml:space="preserve"> </w:t>
      </w:r>
      <w:r>
        <w:rPr>
          <w:b/>
          <w:bCs/>
          <w:lang w:val="el" w:eastAsia="el"/>
        </w:rPr>
        <w:t>Η περ. γ) του άρθρου 3 αντικαθίσταται ως εξής:</w:t>
      </w:r>
    </w:p>
    <w:p>
      <w:pPr>
        <w:spacing w:before="240" w:after="240"/>
        <w:rPr>
          <w:lang w:val="el" w:eastAsia="el"/>
        </w:rPr>
      </w:pPr>
      <w:r>
        <w:rPr>
          <w:b/>
          <w:bCs/>
          <w:lang w:val="el" w:eastAsia="el"/>
        </w:rPr>
        <w:t>«γ) Είδος Δήλωσης Συμβατότητας ως εξής:</w:t>
      </w:r>
    </w:p>
    <w:p>
      <w:pPr>
        <w:spacing w:before="240" w:after="240"/>
        <w:rPr>
          <w:lang w:val="el" w:eastAsia="el"/>
        </w:rPr>
      </w:pPr>
      <w:r>
        <w:rPr>
          <w:b/>
          <w:bCs/>
          <w:lang w:val="el" w:eastAsia="el"/>
        </w:rPr>
        <w:t>(γα) Αρχική για την δήλωση τύπων ΦΗΜ ή εκδόσεων Εμπορικών/Λογιστικών Προγραμμάτων Διαχείρισης (ERP), εφόσον η υπόχρεη οντότητα δεν έχει υποβάλει Δήλωση Συμβατότητας.</w:t>
      </w:r>
    </w:p>
    <w:p>
      <w:pPr>
        <w:spacing w:before="240" w:after="240"/>
        <w:rPr>
          <w:lang w:val="el" w:eastAsia="el"/>
        </w:rPr>
      </w:pPr>
      <w:r>
        <w:rPr>
          <w:b/>
          <w:bCs/>
          <w:lang w:val="el" w:eastAsia="el"/>
        </w:rPr>
        <w:t>(γβ) Τροποποιητική για κάθε προσθήκη νέων ή απόσυρση υπαρχόντων τύπων ΦΗΜ ή εκδόσεων Εμπορικών/Λογιστικών Προγραμμάτων Διαχείρισης (ERP) ή την κατά περίπτωση προσθήκη δυνατότητας διασύνδεσης με υπάρχοντα ή νεότερα Μέσα Πληρωμών ή λογισμικά Παρόχων Ηλεκτρονικής Έκδοσης Στοιχείων (ΥΠΑΗΕΣ) για την αποδοχή πληρωμών μέσω υπηρεσιών άμεσης πληρωμής από λογαριασμό σε λογαριασμό, όπως η υπηρεσία IRIS payment ή επικαιροποίησης των προδιαγραφών των Πρωτοκόλλων Διασύνδεσης των υπό στοιχεία Α.1098/2022 και Α.1155/2023 αποφάσεων του Διοικητή ΑΑΔΕ, εφόσον έχει υποβληθεί αρχική Δήλωση Συμβατότητας.</w:t>
      </w:r>
    </w:p>
    <w:p>
      <w:pPr>
        <w:spacing w:before="240" w:after="240"/>
        <w:rPr>
          <w:lang w:val="el" w:eastAsia="el"/>
        </w:rPr>
      </w:pPr>
      <w:r>
        <w:rPr>
          <w:lang w:val="el" w:eastAsia="el"/>
        </w:rPr>
        <w:t xml:space="preserve">9. </w:t>
      </w:r>
      <w:r>
        <w:rPr>
          <w:b/>
          <w:bCs/>
          <w:lang w:val="el" w:eastAsia="el"/>
        </w:rPr>
        <w:t>Το άρθρο 5 αντικαθίσταται ως εξής:</w:t>
      </w:r>
    </w:p>
    <w:p>
      <w:pPr>
        <w:spacing w:before="240" w:after="240"/>
        <w:rPr>
          <w:lang w:val="el" w:eastAsia="el"/>
        </w:rPr>
      </w:pPr>
      <w:r>
        <w:rPr>
          <w:b/>
          <w:bCs/>
          <w:lang w:val="el" w:eastAsia="el"/>
        </w:rPr>
        <w:t>«Σε περίπτωση διασύνδεσης Εμπορικού/Λογιστικού Προγράμματος Διαχείρισης (ERP) που συνεργάζεται για την έκδοση φορολογικών παραστατικών με ΦΗΜ ή με λογισμικό Παρόχου Υπηρεσιών Ηλεκτρονικής Έκδοσης Στοιχείων (εφεξής ΥΠΑΗΕΣ), η οντότητα Κατασκευαστής Εμπορικών/Λογιστικών Προγραμμάτων Διαχείρισης (Enterprise Resource Planning, «ERP») υποχρεούται να συμμορφώνεται προς τα οριζόμενα στην υπό στοιχεία Α.1155/2023 απόφαση του Διοικητή της ΑΑΔΕ, καθώς και σε κάθε άλλη υποχρέωση που απορρέει από τα οριζόμενα στο άρθρο 18 ΚΦΔ, κατά τη διασύνδεση εκάστης έκδοσης Εμπορικού/Λογιστικού Προγράμματος Διαχείρισης (ERP) με Τύπους Μέσων Πληρωμών που συμπεριλαμβάνονται στις δηλώσεις συμμόρφωσης της παρ. 2 του άρθρου 18 ΚΦΔ ή λογισμικά Παρόχων Ηλεκτρονικής Έκδοσης Στοιχείων (ΥΠΑΗΕΣ) που έχουν πιστοποιηθεί από την Επιτροπή Ελέγχου Καταλληλότητας λογισμικού Παρόχου ή Ιδιοπαρόχου Ηλεκτρονικής Έκδοσης Στοιχείων της υπό στοιχεία Α.1112/2025 απόφασης του Διοικητή ΑΑΔΕ για την παροχή υπηρεσιών αποδοχής αμέσων πληρωμών, όπως η υπηρεσία IRIS payment».</w:t>
      </w:r>
    </w:p>
    <w:p>
      <w:pPr>
        <w:pStyle w:val="MainText"/>
        <w:spacing w:before="120" w:after="0"/>
        <w:rPr>
          <w:lang w:val="el" w:eastAsia="el"/>
        </w:rPr>
      </w:pPr>
      <w:r>
        <w:rPr>
          <w:b/>
          <w:bCs/>
          <w:lang w:val="el" w:eastAsia="el"/>
        </w:rPr>
        <w:t>10.</w:t>
      </w:r>
      <w:r>
        <w:rPr>
          <w:lang w:val="el" w:eastAsia="el"/>
        </w:rPr>
        <w:t xml:space="preserve"> </w:t>
      </w:r>
      <w:r>
        <w:rPr>
          <w:b/>
          <w:bCs/>
          <w:lang w:val="el" w:eastAsia="el"/>
        </w:rPr>
        <w:t>Στο άρθρο 6 προστίθεται παρ. 10 ως εξής:</w:t>
      </w:r>
    </w:p>
    <w:p>
      <w:pPr>
        <w:spacing w:before="240" w:after="240"/>
        <w:rPr>
          <w:lang w:val="el" w:eastAsia="el"/>
        </w:rPr>
      </w:pPr>
      <w:r>
        <w:rPr>
          <w:lang w:val="el" w:eastAsia="el"/>
        </w:rPr>
        <w:t>«</w:t>
      </w:r>
      <w:r>
        <w:rPr>
          <w:b/>
          <w:bCs/>
          <w:lang w:val="el" w:eastAsia="el"/>
        </w:rPr>
        <w:t>10. Σε περίπτωση επικαιροποίησης από την ΑΑΔΕ των προδιαγραφών των Πρωτοκόλλων Διασύνδεσης των υπό στοιχεία Α.1098/2022 και Α.1155/2023 αποφάσεων του Διοικητή ΑΑΔΕ και συνεπακόλουθα των υποχρεώσεων που απορρέουν από τα οριζόμενα από αυτές, οι υπόχρεοι σε υποβολή Δήλωσης Συμβατότητας δηλώνουν την εναρμόνισή τους με τις νέες προδιαγραφές, το αργότερο έως την εκάστοτε καταληκτική προθεσμία υποχρέωσης διασύνδεσης των Χρηστών υπηρεσιών πληρωμών, βάσει της Α.1157/2023 απόφασης του Διοικητή της ΑΑΔΕ, με δεσμευτική ημερομηνία ολοκλήρωσης των διαδικασιών του ελέγχου επικαιροποίησης της συμβατότητας, την ημερομηνία υποβολής της τροποποιητικής δήλωσης».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Στην παρ. 2 του άρθρου 7 προστίθεται εδάφιο και η παρ. 2 διαμορφώνεται ως εξής:</w:t>
      </w:r>
    </w:p>
    <w:p>
      <w:pPr>
        <w:spacing w:before="240" w:after="240"/>
        <w:rPr>
          <w:lang w:val="el" w:eastAsia="el"/>
        </w:rPr>
      </w:pPr>
      <w:r>
        <w:rPr>
          <w:b/>
          <w:bCs/>
          <w:lang w:val="el" w:eastAsia="el"/>
        </w:rPr>
        <w:t>«2. Η δήλωση συμβατότητας δημοσιοποιείται στον ιστότοπο της ΑΑΔΕ και αποτελεί προϋπόθεση για τη λήψη ή τη διατήρηση σε ισχύ της άδειας καταλληλότητας εκάστοτε τύπου ΦΗΜ, καθώς και για τη νόμιμη χρήση των Εμπορικών/Λογιστικών Προγραμμάτων Διαχείρισης «ERP», προκειμένου το εν λόγω λογισμικό να διασυνδέεται με τους ΦΗΜ ή με τα λογισμικά Παρόχων Ηλεκτρονικής Έκδοσης Στοιχείων. Ειδικά για τα Εμπορικά/Λογιστικά Προγράμματα Διαχείρισης “ERP” που διασυνδέονται με λογισμικά των Παρόχων Ηλεκτρονικής έκδοσης Στοιχείων (ΥΠΑΗΕΣ), που έχουν πιστοποιηθεί από την Επιτροπή Ελέγχου Καταλληλότητας λογισμικού Παρόχου ή Ιδιοπαρόχου Ηλεκτρονικής Έκδοσης Στοιχείων της υπό στοιχεία Α.1112/2025 απόφασης του Διοικητή ΑΑΔΕ και για την παροχή υπηρεσιών αποδοχής αμέσων πληρωμών, όπως η υπηρεσία IRIS payment, προϋπόθεση νόμιμης χρήσης αποτελεί η υποβολή δήλωσης συμβατότητας, όπου θα βεβαιώνεται η δυνατότητα τήρησης των σχετικών προδιαγραφών».</w:t>
      </w:r>
    </w:p>
    <w:p>
      <w:pPr>
        <w:pStyle w:val="MainText"/>
        <w:spacing w:before="120" w:after="0"/>
        <w:rPr>
          <w:lang w:val="el" w:eastAsia="el"/>
        </w:rPr>
      </w:pPr>
      <w:r>
        <w:rPr>
          <w:b/>
          <w:bCs/>
          <w:lang w:val="el" w:eastAsia="el"/>
        </w:rPr>
        <w:t>12.</w:t>
      </w:r>
      <w:r>
        <w:rPr>
          <w:lang w:val="el" w:eastAsia="el"/>
        </w:rPr>
        <w:t xml:space="preserve"> </w:t>
      </w:r>
      <w:r>
        <w:rPr>
          <w:b/>
          <w:bCs/>
          <w:lang w:val="el" w:eastAsia="el"/>
        </w:rPr>
        <w:t>Το Παράρτημα της απόφασης αναφορικά με το υπόδειγμα Δήλωσης Συμβατότητας τροποποιείται ως εξής:</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ΥΠΟΔΕΙΓΜΑ ΔΗΛΩΣΗΣ ΣΥΜΒΑΤΟΤΗΤΑΣ ΑΡΘΡΟΥ 17 ΚΦΔ</w:t>
      </w:r>
    </w:p>
    <w:p>
      <w:pPr>
        <w:spacing w:before="240" w:after="240"/>
        <w:rPr>
          <w:lang w:val="el" w:eastAsia="el"/>
        </w:rPr>
      </w:pPr>
      <w:r>
        <w:rPr>
          <w:b/>
          <w:bCs/>
          <w:lang w:val="el" w:eastAsia="el"/>
        </w:rPr>
        <w:t>Προς: Ανεξάρτητη Αρχή Δημοσίων Εσόδων</w:t>
      </w:r>
    </w:p>
    <w:p>
      <w:pPr>
        <w:spacing w:before="240" w:after="240"/>
        <w:rPr>
          <w:lang w:val="el" w:eastAsia="el"/>
        </w:rPr>
      </w:pPr>
      <w:r>
        <w:rPr>
          <w:b/>
          <w:bCs/>
          <w:lang w:val="el" w:eastAsia="el"/>
        </w:rPr>
        <w:t>Δήλωση Συμβατότητας Άρθρου 17 ΚΦΔ</w:t>
      </w:r>
    </w:p>
    <w:p>
      <w:pPr>
        <w:spacing w:before="240" w:after="240"/>
        <w:rPr>
          <w:lang w:val="el" w:eastAsia="el"/>
        </w:rPr>
      </w:pPr>
      <w:r>
        <w:rPr>
          <w:b/>
          <w:bCs/>
          <w:lang w:val="el" w:eastAsia="el"/>
        </w:rPr>
        <w:t>Στοιχεία Υπόχρεου Εγκαταστάτη</w:t>
      </w:r>
    </w:p>
    <w:p>
      <w:pPr>
        <w:spacing w:before="240" w:after="240"/>
        <w:rPr>
          <w:lang w:val="el" w:eastAsia="el"/>
        </w:rPr>
      </w:pPr>
      <w:r>
        <w:rPr>
          <w:b/>
          <w:bCs/>
          <w:lang w:val="el" w:eastAsia="el"/>
        </w:rPr>
        <w:t>Επωνυμία</w:t>
      </w:r>
    </w:p>
    <w:p>
      <w:pPr>
        <w:spacing w:before="240" w:after="240"/>
        <w:rPr>
          <w:lang w:val="el" w:eastAsia="el"/>
        </w:rPr>
      </w:pPr>
      <w:r>
        <w:rPr>
          <w:b/>
          <w:bCs/>
          <w:lang w:val="el" w:eastAsia="el"/>
        </w:rPr>
        <w:t>ΑΦΜ / Αριθμός</w:t>
      </w:r>
    </w:p>
    <w:p>
      <w:pPr>
        <w:spacing w:before="240" w:after="240"/>
        <w:rPr>
          <w:lang w:val="el" w:eastAsia="el"/>
        </w:rPr>
      </w:pPr>
      <w:r>
        <w:rPr>
          <w:b/>
          <w:bCs/>
          <w:lang w:val="el" w:eastAsia="el"/>
        </w:rPr>
        <w:t>Φορολογικής</w:t>
      </w:r>
    </w:p>
    <w:p>
      <w:pPr>
        <w:spacing w:before="240" w:after="240"/>
        <w:rPr>
          <w:lang w:val="el" w:eastAsia="el"/>
        </w:rPr>
      </w:pPr>
      <w:r>
        <w:rPr>
          <w:b/>
          <w:bCs/>
          <w:lang w:val="el" w:eastAsia="el"/>
        </w:rPr>
        <w:t>Ταυτοποίησης*</w:t>
      </w:r>
    </w:p>
    <w:p>
      <w:pPr>
        <w:spacing w:before="240" w:after="240"/>
        <w:rPr>
          <w:lang w:val="el" w:eastAsia="el"/>
        </w:rPr>
      </w:pPr>
      <w:r>
        <w:rPr>
          <w:b/>
          <w:bCs/>
          <w:lang w:val="el" w:eastAsia="el"/>
        </w:rPr>
        <w:t>Διεύθυνση Έδρας</w:t>
      </w:r>
    </w:p>
    <w:p>
      <w:pPr>
        <w:spacing w:before="240" w:after="240"/>
        <w:rPr>
          <w:lang w:val="el" w:eastAsia="el"/>
        </w:rPr>
      </w:pPr>
      <w:r>
        <w:rPr>
          <w:b/>
          <w:bCs/>
          <w:lang w:val="el" w:eastAsia="el"/>
        </w:rPr>
        <w:t>Χώρα</w:t>
      </w:r>
    </w:p>
    <w:p>
      <w:pPr>
        <w:spacing w:before="240" w:after="240"/>
        <w:rPr>
          <w:lang w:val="el" w:eastAsia="el"/>
        </w:rPr>
      </w:pPr>
      <w:r>
        <w:rPr>
          <w:b/>
          <w:bCs/>
          <w:lang w:val="el" w:eastAsia="el"/>
        </w:rPr>
        <w:t>Τηλέφωνο Επικοινωνίας</w:t>
      </w:r>
    </w:p>
    <w:p>
      <w:pPr>
        <w:spacing w:before="240" w:after="240"/>
        <w:rPr>
          <w:lang w:val="el" w:eastAsia="el"/>
        </w:rPr>
      </w:pPr>
      <w:r>
        <w:rPr>
          <w:b/>
          <w:bCs/>
          <w:lang w:val="el" w:eastAsia="el"/>
        </w:rPr>
        <w:t>E-mail</w:t>
      </w:r>
    </w:p>
    <w:p>
      <w:pPr>
        <w:spacing w:before="240" w:after="240"/>
        <w:rPr>
          <w:lang w:val="el" w:eastAsia="el"/>
        </w:rPr>
      </w:pPr>
      <w:r>
        <w:rPr>
          <w:b/>
          <w:bCs/>
          <w:lang w:val="el" w:eastAsia="el"/>
        </w:rPr>
        <w:t>Στοιχεία Νόμιμου Εκπροσώπου Ονοματεπώνυμο</w:t>
      </w:r>
    </w:p>
    <w:p>
      <w:pPr>
        <w:spacing w:before="240" w:after="240"/>
        <w:rPr>
          <w:lang w:val="el" w:eastAsia="el"/>
        </w:rPr>
      </w:pPr>
      <w:r>
        <w:rPr>
          <w:b/>
          <w:bCs/>
          <w:lang w:val="el" w:eastAsia="el"/>
        </w:rPr>
        <w:t>ΑΦΜ / Αριθμός</w:t>
      </w:r>
    </w:p>
    <w:p>
      <w:pPr>
        <w:spacing w:before="240" w:after="240"/>
        <w:rPr>
          <w:lang w:val="el" w:eastAsia="el"/>
        </w:rPr>
      </w:pPr>
      <w:r>
        <w:rPr>
          <w:b/>
          <w:bCs/>
          <w:lang w:val="el" w:eastAsia="el"/>
        </w:rPr>
        <w:t>Φορολογικής</w:t>
      </w:r>
    </w:p>
    <w:p>
      <w:pPr>
        <w:spacing w:before="240" w:after="240"/>
        <w:rPr>
          <w:lang w:val="el" w:eastAsia="el"/>
        </w:rPr>
      </w:pPr>
      <w:r>
        <w:rPr>
          <w:b/>
          <w:bCs/>
          <w:lang w:val="el" w:eastAsia="el"/>
        </w:rPr>
        <w:t>Ταυτοποίησης*</w:t>
      </w:r>
    </w:p>
    <w:p>
      <w:pPr>
        <w:spacing w:before="240" w:after="240"/>
        <w:rPr>
          <w:lang w:val="el" w:eastAsia="el"/>
        </w:rPr>
      </w:pPr>
      <w:r>
        <w:rPr>
          <w:b/>
          <w:bCs/>
          <w:lang w:val="el" w:eastAsia="el"/>
        </w:rPr>
        <w:t>Διεύθυνση</w:t>
      </w:r>
    </w:p>
    <w:p>
      <w:pPr>
        <w:spacing w:before="240" w:after="240"/>
        <w:rPr>
          <w:lang w:val="el" w:eastAsia="el"/>
        </w:rPr>
      </w:pPr>
      <w:r>
        <w:rPr>
          <w:b/>
          <w:bCs/>
          <w:lang w:val="el" w:eastAsia="el"/>
        </w:rPr>
        <w:t>Τηλέφωνο Επικοινωνίας E-mail</w:t>
      </w:r>
    </w:p>
    <w:p>
      <w:pPr>
        <w:spacing w:before="240" w:after="240"/>
        <w:rPr>
          <w:lang w:val="el" w:eastAsia="el"/>
        </w:rPr>
      </w:pPr>
      <w:r>
        <w:rPr>
          <w:b/>
          <w:bCs/>
          <w:lang w:val="el" w:eastAsia="el"/>
        </w:rPr>
        <w:t>* Αφορά πρόσωπα που εδρεύουν ή κατοικούν στην αλλοδαπή και δεν διαθέτουν ΑΦΜ στην Ελλάδα. Όπου υπάρχει, συμπληρώνεται ο ΑΦΜ/VIES.</w:t>
      </w:r>
    </w:p>
    <w:p>
      <w:pPr>
        <w:spacing w:before="240" w:after="240"/>
        <w:rPr>
          <w:lang w:val="el" w:eastAsia="el"/>
        </w:rPr>
      </w:pPr>
      <w:r>
        <w:rPr>
          <w:b/>
          <w:bCs/>
          <w:lang w:val="el" w:eastAsia="el"/>
        </w:rPr>
        <w:t>Δήλωση Ιδιότητας Υπόχρεου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Εισαγωγέας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Κατασκευαστής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Έμπορος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Κατασκευαστής Εμπορικού/Λογιστικού Προγράμματος Διαχείρισης (ERP) και παρέχων την Τεχνική Υποστήριξη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Κατηγορία Υπόχρεου</w:t>
      </w:r>
    </w:p>
    <w:p>
      <w:pPr>
        <w:pStyle w:val="MainText"/>
        <w:spacing w:before="120" w:after="0"/>
        <w:rPr>
          <w:lang w:val="el" w:eastAsia="el"/>
        </w:rPr>
      </w:pPr>
      <w:r>
        <w:rPr>
          <w:b/>
          <w:bCs/>
          <w:lang w:val="el" w:eastAsia="el"/>
        </w:rPr>
        <w:t>1.</w:t>
      </w:r>
      <w:r>
        <w:rPr>
          <w:lang w:val="el" w:eastAsia="el"/>
        </w:rPr>
        <w:t xml:space="preserve"> </w:t>
      </w:r>
      <w:r>
        <w:rPr>
          <w:b/>
          <w:bCs/>
          <w:lang w:val="el" w:eastAsia="el"/>
        </w:rPr>
        <w:t>Οντότητα ημεδαπής</w:t>
      </w:r>
    </w:p>
    <w:p>
      <w:pPr>
        <w:pStyle w:val="MainText"/>
        <w:spacing w:before="120" w:after="0"/>
        <w:rPr>
          <w:lang w:val="el" w:eastAsia="el"/>
        </w:rPr>
      </w:pPr>
      <w:r>
        <w:rPr>
          <w:b/>
          <w:bCs/>
          <w:lang w:val="el" w:eastAsia="el"/>
        </w:rPr>
        <w:t>2.</w:t>
      </w:r>
      <w:r>
        <w:rPr>
          <w:lang w:val="el" w:eastAsia="el"/>
        </w:rPr>
        <w:t xml:space="preserve"> </w:t>
      </w:r>
      <w:r>
        <w:rPr>
          <w:b/>
          <w:bCs/>
          <w:lang w:val="el" w:eastAsia="el"/>
        </w:rPr>
        <w:t>Οντότητα αλλοδαπής</w:t>
      </w:r>
    </w:p>
    <w:p>
      <w:pPr>
        <w:spacing w:before="240" w:after="240"/>
        <w:rPr>
          <w:lang w:val="el" w:eastAsia="el"/>
        </w:rPr>
      </w:pPr>
      <w:r>
        <w:rPr>
          <w:b/>
          <w:bCs/>
          <w:lang w:val="el" w:eastAsia="el"/>
        </w:rPr>
        <w:t>[Κείμενο Δήλωσης Συμβατότητας Οντοτήτων με αντικείμενο δραστηριότητας την εισαγωγή, κατασκευή και εμπορία ΦΗΜ.]</w:t>
      </w:r>
    </w:p>
    <w:p>
      <w:pPr>
        <w:spacing w:before="240" w:after="240"/>
        <w:rPr>
          <w:lang w:val="el" w:eastAsia="el"/>
        </w:rPr>
      </w:pPr>
      <w:r>
        <w:rPr>
          <w:b/>
          <w:bCs/>
          <w:lang w:val="el" w:eastAsia="el"/>
        </w:rPr>
        <w:t>Η εταιρεία μας συμμορφώνεται πλήρως ως προς τις απαιτήσεις του άρθρου 4 της Απόφασης Α.1054/2024 Διοικητή ΑΑΔΕ για τις υπηρεσίες αναβάθμισης και διασύνδεσης των τύπων ΦΗΜ για τους οποίους κατέχει ή ζητά άδεια καταλληλότητας, ανεξάρτητα αν οι ΦΗΜ συνεργάζονται με Εμπορικά/Λογιστικά Προγράμματα Διαχείρισης (ERP) για την έκδοση φορολογικών στοιχείων, με τύπους Μέσων Πληρωμών που συμπεριλαμβάνονται στις Δηλώσεις Συμμόρφωσης του άρθρου 18 ΚΦΔ.</w:t>
      </w:r>
    </w:p>
    <w:p>
      <w:pPr>
        <w:spacing w:before="240" w:after="240"/>
        <w:rPr>
          <w:lang w:val="el" w:eastAsia="el"/>
        </w:rPr>
      </w:pPr>
      <w:r>
        <w:rPr>
          <w:b/>
          <w:bCs/>
          <w:lang w:val="el" w:eastAsia="el"/>
        </w:rPr>
        <w:t>Περαιτέρω, στον πίνακα (Α) δηλώνουμε τη δυνατότητα ή μη, επιτυχούς διασύνδεσης, με τα ως άνω Μέσα Πληρωμών που συμπεριλαμβάνονται στις Δηλώσεις Συμμόρφωσης του άρθρου 18 ΚΦΔ κατόπιν έμπρακτης δοκιμής συμβατότητας.</w:t>
      </w:r>
    </w:p>
    <w:p>
      <w:pPr>
        <w:spacing w:before="240" w:after="240"/>
        <w:rPr>
          <w:lang w:val="el" w:eastAsia="el"/>
        </w:rPr>
      </w:pPr>
      <w:r>
        <w:rPr>
          <w:b/>
          <w:bCs/>
          <w:lang w:val="el" w:eastAsia="el"/>
        </w:rPr>
        <w:t>[Κείμενο Δήλωσης Συμβατότητας Οντοτήτων με αντικείμενο δραστηριότητας την Κατασκευή Εμπορικών/ Λογιστικών Προγραμμάτων Διαχείρισης (Enterprise Resource Planning, «ERP»)</w:t>
      </w:r>
    </w:p>
    <w:p>
      <w:pPr>
        <w:spacing w:before="240" w:after="240"/>
        <w:rPr>
          <w:lang w:val="el" w:eastAsia="el"/>
        </w:rPr>
      </w:pPr>
      <w:r>
        <w:rPr>
          <w:b/>
          <w:bCs/>
          <w:lang w:val="el" w:eastAsia="el"/>
        </w:rPr>
        <w:t>Η εταιρεία μας συμμορφώνεται πλήρως ως προς τις απαιτήσεις του άρθρου 5 της Απόφασης Α.1054/2024 Διοικητή ΑΑΔΕ για τις υπηρεσίες διασύνδεσης των εκδόσεων Εμπορικών/ Λογιστικών Προγραμμάτων Διαχείρισης (ERP), με τύπους Μέσων Πληρωμών που συμπεριλαμβάνονται στις Δηλώσεις Συμμόρφωσης της 18 ΚΦΔ ή λογισμικά Παρόχων Ηλεκτρονικής Έκδοσης Στοιχείων (ΥΠΑΗΕΣ) που έχουν πιστοποιηθεί από την Επιτροπή Ελέγχου Καταλληλότητας λογισμικού Παρόχου ή Ιδιοπαρόχου Ηλεκτρονικής Έκδοσης Στοιχείων της υπό στοιχεία Α.1112/2025 απόφασης του Διοικητή ΑΑΔΕ για την παροχή υπηρεσιών αποδοχής αμέσων πληρωμών, όπως η υπηρεσία IRIS payment.</w:t>
      </w:r>
    </w:p>
    <w:p>
      <w:pPr>
        <w:spacing w:before="240" w:after="240"/>
        <w:rPr>
          <w:lang w:val="el" w:eastAsia="el"/>
        </w:rPr>
      </w:pPr>
      <w:r>
        <w:rPr>
          <w:b/>
          <w:bCs/>
          <w:lang w:val="el" w:eastAsia="el"/>
        </w:rPr>
        <w:t>Περαιτέρω, στον Πίνακα (Β1) δηλώνουμε τη δυνατότητα ή μη, επιτυχούς διασύνδεσης, με τα ως άνω Μέσα Πληρωμών και στον Πίνακα (Β2) δηλώνουμε τη δυνατότητα επιτυχούς διασύνδεσης, με τα λογισμικά Παρόχων Ηλεκτρονικής Έκδοσης Στοιχείων (ΥΠΑΗΕΣ) για την παροχή υπηρεσιών αποδοχής αμέσων πληρωμών, κατόπιν έμπρακτης δοκιμής συμβατότητας.</w:t>
      </w:r>
    </w:p>
    <w:p>
      <w:pPr>
        <w:spacing w:before="240" w:after="240"/>
        <w:rPr>
          <w:lang w:val="el" w:eastAsia="el"/>
        </w:rPr>
      </w:pPr>
      <w:r>
        <w:rPr>
          <w:b/>
          <w:bCs/>
          <w:lang w:val="el" w:eastAsia="el"/>
        </w:rPr>
        <w:t>Ημερομηνία Υποβολής Δήλωσης</w:t>
      </w:r>
    </w:p>
    <w:p>
      <w:pPr>
        <w:spacing w:before="240" w:after="240"/>
        <w:rPr>
          <w:lang w:val="el" w:eastAsia="el"/>
        </w:rPr>
      </w:pPr>
      <w:r>
        <w:rPr>
          <w:b/>
          <w:bCs/>
          <w:lang w:val="el" w:eastAsia="el"/>
        </w:rPr>
        <w:t>Αριθμός Δήλωσης</w:t>
      </w:r>
    </w:p>
    <w:p>
      <w:pPr>
        <w:spacing w:before="240" w:after="240"/>
        <w:rPr>
          <w:lang w:val="el" w:eastAsia="el"/>
        </w:rPr>
      </w:pPr>
      <w:r>
        <w:rPr>
          <w:b/>
          <w:bCs/>
          <w:lang w:val="el" w:eastAsia="el"/>
        </w:rPr>
        <w:t>Κωδικός υπόχρεης οντότητας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8"/>
        <w:gridCol w:w="1490"/>
        <w:gridCol w:w="653"/>
        <w:gridCol w:w="1225"/>
        <w:gridCol w:w="1021"/>
        <w:gridCol w:w="1065"/>
        <w:gridCol w:w="925"/>
        <w:gridCol w:w="1350"/>
        <w:gridCol w:w="1177"/>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(Α)</w:t>
            </w:r>
          </w:p>
          <w:p>
            <w:pPr>
              <w:spacing w:before="240"/>
              <w:rPr>
                <w:b w:val="0"/>
                <w:bCs w:val="0"/>
                <w:i w:val="0"/>
                <w:iCs w:val="0"/>
                <w:smallCaps w:val="0"/>
                <w:color w:val="000000"/>
                <w:lang w:val="el" w:eastAsia="el"/>
              </w:rPr>
            </w:pPr>
            <w:r>
              <w:rPr>
                <w:b/>
                <w:bCs/>
                <w:i w:val="0"/>
                <w:iCs w:val="0"/>
                <w:smallCaps w:val="0"/>
                <w:color w:val="000000"/>
                <w:lang w:val="el" w:eastAsia="el"/>
              </w:rPr>
              <w:t>Κατάσταση Τύπων ΦΗΜ/ συμβατών/μη συμβατών με τύπους Μέσων Πληρωμών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Διασύνδεσης Α.1155/2023 Α.1098/2022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Μέσου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Πάροχος Μέσων</w:t>
            </w:r>
          </w:p>
          <w:p>
            <w:pPr>
              <w:spacing w:before="240"/>
              <w:rPr>
                <w:b w:val="0"/>
                <w:bCs w:val="0"/>
                <w:i w:val="0"/>
                <w:iCs w:val="0"/>
                <w:smallCaps w:val="0"/>
                <w:color w:val="000000"/>
                <w:lang w:val="el" w:eastAsia="el"/>
              </w:rPr>
            </w:pPr>
            <w:r>
              <w:rPr>
                <w:b/>
                <w:bCs/>
                <w:i w:val="0"/>
                <w:iCs w:val="0"/>
                <w:smallCaps w:val="0"/>
                <w:color w:val="000000"/>
                <w:lang w:val="el" w:eastAsia="el"/>
              </w:rPr>
              <w:t>Πληρωμών (NSP)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Συμβατά/ Μη Συμβατά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ενεργειών συμβατότητας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Διατιθέμενο Προσθήκη Απόσυρση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
        <w:gridCol w:w="1341"/>
        <w:gridCol w:w="877"/>
        <w:gridCol w:w="721"/>
        <w:gridCol w:w="1025"/>
        <w:gridCol w:w="919"/>
        <w:gridCol w:w="959"/>
        <w:gridCol w:w="833"/>
        <w:gridCol w:w="1215"/>
        <w:gridCol w:w="1060"/>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(Β1)</w:t>
            </w:r>
          </w:p>
          <w:p>
            <w:pPr>
              <w:spacing w:before="240"/>
              <w:rPr>
                <w:b w:val="0"/>
                <w:bCs w:val="0"/>
                <w:i w:val="0"/>
                <w:iCs w:val="0"/>
                <w:smallCaps w:val="0"/>
                <w:color w:val="000000"/>
                <w:lang w:val="el" w:eastAsia="el"/>
              </w:rPr>
            </w:pPr>
            <w:r>
              <w:rPr>
                <w:b/>
                <w:bCs/>
                <w:i w:val="0"/>
                <w:iCs w:val="0"/>
                <w:smallCaps w:val="0"/>
                <w:color w:val="000000"/>
                <w:lang w:val="el" w:eastAsia="el"/>
              </w:rPr>
              <w:t>Κατάσταση Εκδόσεων Λογισμικών ERP συμβατών/μη συμβατών με τύπους Μέσων Πληρωμών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Διασύνδεση με ΥΠΑΗΕΣ ή ΦΗΜ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Μέσου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Πάροχος Μέσων Πληρωμών (NSP)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Συμβατά/ Μη Συμβατά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ενεργειών συμβατότητας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Διατιθέμενο Προσθήκη Απόσυρση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
        <w:gridCol w:w="1607"/>
        <w:gridCol w:w="1051"/>
        <w:gridCol w:w="864"/>
        <w:gridCol w:w="918"/>
        <w:gridCol w:w="1705"/>
        <w:gridCol w:w="1456"/>
        <w:gridCol w:w="1271"/>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(Β2)</w:t>
            </w:r>
          </w:p>
          <w:p>
            <w:pPr>
              <w:spacing w:before="240"/>
              <w:rPr>
                <w:b w:val="0"/>
                <w:bCs w:val="0"/>
                <w:i w:val="0"/>
                <w:iCs w:val="0"/>
                <w:smallCaps w:val="0"/>
                <w:color w:val="000000"/>
                <w:lang w:val="el" w:eastAsia="el"/>
              </w:rPr>
            </w:pPr>
            <w:r>
              <w:rPr>
                <w:b/>
                <w:bCs/>
                <w:i w:val="0"/>
                <w:iCs w:val="0"/>
                <w:smallCaps w:val="0"/>
                <w:color w:val="000000"/>
                <w:lang w:val="el" w:eastAsia="el"/>
              </w:rPr>
              <w:t>Κατάσταση Εκδόσεων Λογισμικών ERP συμβατών με Λογισμικά Παρόχων Ηλεκτρονικής Έκδοσης Στοιχείων (ΥΠΑΗΕΣ) για την παροχή υπηρεσιών αποδοχής αμέσων πληρωμών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ΥΠΑΗΕΣ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Άδειας</w:t>
            </w:r>
          </w:p>
          <w:p>
            <w:pPr>
              <w:spacing w:before="240" w:after="240"/>
              <w:rPr>
                <w:b w:val="0"/>
                <w:bCs w:val="0"/>
                <w:i w:val="0"/>
                <w:iCs w:val="0"/>
                <w:smallCaps w:val="0"/>
                <w:color w:val="000000"/>
                <w:lang w:val="el" w:eastAsia="el"/>
              </w:rPr>
            </w:pPr>
            <w:r>
              <w:rPr>
                <w:b/>
                <w:bCs/>
                <w:i w:val="0"/>
                <w:iCs w:val="0"/>
                <w:smallCaps w:val="0"/>
                <w:color w:val="000000"/>
                <w:lang w:val="el" w:eastAsia="el"/>
              </w:rPr>
              <w:t>Καταλληλότητας</w:t>
            </w:r>
          </w:p>
          <w:p>
            <w:pPr>
              <w:spacing w:before="240"/>
              <w:rPr>
                <w:b w:val="0"/>
                <w:bCs w:val="0"/>
                <w:i w:val="0"/>
                <w:iCs w:val="0"/>
                <w:smallCaps w:val="0"/>
                <w:color w:val="000000"/>
                <w:lang w:val="el" w:eastAsia="el"/>
              </w:rPr>
            </w:pPr>
            <w:r>
              <w:rPr>
                <w:b/>
                <w:bCs/>
                <w:i w:val="0"/>
                <w:iCs w:val="0"/>
                <w:smallCaps w:val="0"/>
                <w:color w:val="000000"/>
                <w:lang w:val="el" w:eastAsia="el"/>
              </w:rPr>
              <w:t>Λογισμικού ΥΠΑΗΕΣ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ολοκλήρωσης ενεργειών συμβατότητας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Διατιθέμενο Προσθήκη Απόσυρση</w:t>
            </w:r>
          </w:p>
        </w:tc>
      </w:tr>
    </w:tbl>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Όλες οι Δ.Ο.Υ.</w:t>
      </w:r>
    </w:p>
    <w:p>
      <w:pPr>
        <w:spacing w:before="240" w:after="240"/>
        <w:rPr>
          <w:lang w:val="el" w:eastAsia="el"/>
        </w:rPr>
      </w:pPr>
      <w:r>
        <w:rPr>
          <w:lang w:val="el" w:eastAsia="el"/>
        </w:rPr>
        <w:t xml:space="preserve">3. </w:t>
      </w:r>
      <w:r>
        <w:rPr>
          <w:b/>
          <w:bCs/>
          <w:lang w:val="el" w:eastAsia="el"/>
        </w:rPr>
        <w:t>Όλα τα Ελεγκτικά Κέντρα (ΕΛ.ΚΕ.)</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Κέντρο Φορολογικών Διαδικασιών και Εξυπηρέτησης Αττικής (ΚΕ.ΦΟ.Δ.Ε.)</w:t>
      </w:r>
    </w:p>
    <w:p>
      <w:pPr>
        <w:spacing w:before="240" w:after="240"/>
        <w:rPr>
          <w:lang w:val="el" w:eastAsia="el"/>
        </w:rPr>
      </w:pPr>
      <w:r>
        <w:rPr>
          <w:lang w:val="el" w:eastAsia="el"/>
        </w:rPr>
        <w:t xml:space="preserve">6. </w:t>
      </w:r>
      <w:r>
        <w:rPr>
          <w:b/>
          <w:bCs/>
          <w:lang w:val="el" w:eastAsia="el"/>
        </w:rPr>
        <w:t>Όλες οι Υπηρεσίες Φορολογικής Εξυπηρέτησης (Υ.Φ.Ε.)</w:t>
      </w:r>
    </w:p>
    <w:p>
      <w:pPr>
        <w:spacing w:before="240" w:after="240"/>
        <w:rPr>
          <w:lang w:val="el" w:eastAsia="el"/>
        </w:rPr>
      </w:pPr>
      <w:r>
        <w:rPr>
          <w:lang w:val="el" w:eastAsia="el"/>
        </w:rPr>
        <w:t xml:space="preserve">7. </w:t>
      </w:r>
      <w:r>
        <w:rPr>
          <w:b/>
          <w:bCs/>
          <w:lang w:val="el" w:eastAsia="el"/>
        </w:rPr>
        <w:t>Όλες οι Υπηρεσίες Ερευνών και Διασφάλισης Δημοσίων Εσόδων (Υ.Ε.Δ.Δ.Ε.)</w:t>
      </w:r>
    </w:p>
    <w:p>
      <w:pPr>
        <w:spacing w:before="240" w:after="240"/>
        <w:rPr>
          <w:lang w:val="el" w:eastAsia="el"/>
        </w:rPr>
      </w:pPr>
      <w:r>
        <w:rPr>
          <w:lang w:val="el" w:eastAsia="el"/>
        </w:rPr>
        <w:t xml:space="preserve">8. </w:t>
      </w:r>
      <w:r>
        <w:rPr>
          <w:b/>
          <w:bCs/>
          <w:lang w:val="el" w:eastAsia="el"/>
        </w:rPr>
        <w:t>Όλες οι Φορολογικές Περιφέρειες</w:t>
      </w:r>
    </w:p>
    <w:p>
      <w:pPr>
        <w:spacing w:before="240" w:after="240"/>
        <w:rPr>
          <w:lang w:val="el" w:eastAsia="el"/>
        </w:rPr>
      </w:pPr>
      <w:r>
        <w:rPr>
          <w:lang w:val="el" w:eastAsia="el"/>
        </w:rPr>
        <w:t xml:space="preserve">9.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Υπουργού Ψηφιακής Διακυβέρνησης</w:t>
      </w:r>
    </w:p>
    <w:p>
      <w:pPr>
        <w:spacing w:before="240" w:after="240"/>
        <w:rPr>
          <w:lang w:val="el" w:eastAsia="el"/>
        </w:rPr>
      </w:pPr>
      <w:r>
        <w:rPr>
          <w:lang w:val="el" w:eastAsia="el"/>
        </w:rPr>
        <w:t xml:space="preserve">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4.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5. </w:t>
      </w:r>
      <w:r>
        <w:rPr>
          <w:b/>
          <w:bCs/>
          <w:lang w:val="el" w:eastAsia="el"/>
        </w:rPr>
        <w:t>Διεύθυνση Επιχειρησιακού Σχεδιασμού Ελέγχων (ΔΙ.Ε.Σ.ΕΛ.)</w:t>
      </w:r>
    </w:p>
    <w:p>
      <w:pPr>
        <w:spacing w:before="240" w:after="240"/>
        <w:rPr>
          <w:lang w:val="el" w:eastAsia="el"/>
        </w:rPr>
      </w:pPr>
      <w:r>
        <w:rPr>
          <w:lang w:val="el" w:eastAsia="el"/>
        </w:rPr>
        <w:t xml:space="preserve">6. </w:t>
      </w:r>
      <w:r>
        <w:rPr>
          <w:b/>
          <w:bCs/>
          <w:lang w:val="el" w:eastAsia="el"/>
        </w:rPr>
        <w:t>Διεύθυνση Προγραμματισμού και Αξιολόγησης Ελέγχων και Ερευνών (ΔΙ.Π.Α.Ε.Ε.)</w:t>
      </w:r>
    </w:p>
    <w:p>
      <w:pPr>
        <w:spacing w:before="240" w:after="240"/>
        <w:rPr>
          <w:lang w:val="el" w:eastAsia="el"/>
        </w:rPr>
      </w:pPr>
      <w:r>
        <w:rPr>
          <w:lang w:val="el" w:eastAsia="el"/>
        </w:rPr>
        <w:t xml:space="preserve">7. </w:t>
      </w:r>
      <w:r>
        <w:rPr>
          <w:b/>
          <w:bCs/>
          <w:lang w:val="el" w:eastAsia="el"/>
        </w:rPr>
        <w:t>Διεύθυνση Εφαρμογής Άμεσης Φορολογίας (Δ.Ε.Α.Φ.)</w:t>
      </w:r>
    </w:p>
    <w:p>
      <w:pPr>
        <w:spacing w:before="240" w:after="240"/>
        <w:rPr>
          <w:lang w:val="el" w:eastAsia="el"/>
        </w:rPr>
      </w:pPr>
      <w:r>
        <w:rPr>
          <w:lang w:val="el" w:eastAsia="el"/>
        </w:rPr>
        <w:t xml:space="preserve">8. </w:t>
      </w:r>
      <w:r>
        <w:rPr>
          <w:b/>
          <w:bCs/>
          <w:lang w:val="el" w:eastAsia="el"/>
        </w:rPr>
        <w:t>Διεύθυνση Εξυπηρέτησης (Δ.ΕΞΥ.)</w:t>
      </w:r>
    </w:p>
    <w:p>
      <w:pPr>
        <w:spacing w:before="240" w:after="240"/>
        <w:rPr>
          <w:lang w:val="el" w:eastAsia="el"/>
        </w:rPr>
      </w:pPr>
      <w:r>
        <w:rPr>
          <w:lang w:val="el" w:eastAsia="el"/>
        </w:rPr>
        <w:t xml:space="preserve">9. </w:t>
      </w:r>
      <w:r>
        <w:rPr>
          <w:b/>
          <w:bCs/>
          <w:lang w:val="el" w:eastAsia="el"/>
        </w:rPr>
        <w:t>Αποδέκτες Πίνακα Β’ (Δ.Ε.Δ.), Πίνακα Ζ’ (ΠΟΕ ΔΟΥ και Φορολογική Επιθεώρηση) και Πίνακα Η’ (όλα εκτός των Εκτελωνιστών)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της Ανεξάρτητης Αρχής Δημοσίων Εσόδων</w:t>
      </w:r>
    </w:p>
    <w:p>
      <w:pPr>
        <w:spacing w:before="240" w:after="240"/>
        <w:rPr>
          <w:lang w:val="el" w:eastAsia="el"/>
        </w:rPr>
      </w:pPr>
      <w:r>
        <w:rPr>
          <w:lang w:val="el" w:eastAsia="el"/>
        </w:rPr>
        <w:t xml:space="preserve">2. </w:t>
      </w:r>
      <w:r>
        <w:rPr>
          <w:b/>
          <w:bCs/>
          <w:lang w:val="el" w:eastAsia="el"/>
        </w:rPr>
        <w:t>Γραφείo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Γραφείo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Γραφείo Προϊσταμένης της Γενικής Διεύθυνσης Ηλεκτρονικής Διακυβέρνησης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Φορολογική και Τελωνειακή Ακαδημία</w:t>
      </w:r>
    </w:p>
    <w:p>
      <w:pPr>
        <w:spacing w:before="240" w:after="240"/>
        <w:rPr>
          <w:lang w:val="el" w:eastAsia="el"/>
        </w:rPr>
      </w:pPr>
      <w:r>
        <w:rPr>
          <w:lang w:val="el" w:eastAsia="el"/>
        </w:rPr>
        <w:t xml:space="preserve">7. </w:t>
      </w:r>
      <w:r>
        <w:rPr>
          <w:b/>
          <w:bCs/>
          <w:lang w:val="el" w:eastAsia="el"/>
        </w:rPr>
        <w:t>Διεύθυνση Ανάπτυξης Φορολογικών Εφαρμογών</w:t>
      </w:r>
    </w:p>
    <w:p>
      <w:pPr>
        <w:spacing w:before="240" w:after="240"/>
        <w:rPr>
          <w:lang w:val="el" w:eastAsia="el"/>
        </w:rPr>
      </w:pPr>
      <w:r>
        <w:rPr>
          <w:lang w:val="el" w:eastAsia="el"/>
        </w:rPr>
        <w:t xml:space="preserve">8. </w:t>
      </w:r>
      <w:r>
        <w:rPr>
          <w:b/>
          <w:bCs/>
          <w:lang w:val="el" w:eastAsia="el"/>
        </w:rPr>
        <w:t>Διεύθυνση Ελεγκτικών Διαδικασιών</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