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Μοσχάτο, 17/11/2025</w:t>
      </w:r>
    </w:p>
    <w:p>
      <w:pPr>
        <w:pStyle w:val="PreambelText"/>
        <w:spacing w:before="240" w:after="240"/>
        <w:rPr>
          <w:lang w:val="el" w:eastAsia="el"/>
        </w:rPr>
      </w:pPr>
      <w:r>
        <w:rPr>
          <w:lang w:val="el" w:eastAsia="el"/>
        </w:rPr>
        <w:t>Α. Π.: Εισερχ. Α1163</w:t>
      </w:r>
    </w:p>
    <w:p>
      <w:pPr>
        <w:pStyle w:val="PreambelText"/>
        <w:spacing w:before="240" w:after="240"/>
        <w:rPr>
          <w:lang w:val="el" w:eastAsia="el"/>
        </w:rPr>
      </w:pPr>
      <w:r>
        <w:rPr>
          <w:lang w:val="el" w:eastAsia="el"/>
        </w:rPr>
        <w:t>Α. Π. Αποστολέα: Α1163 Ημ/νία Αποστολής: 17/11/2025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ΕΘΝΙΚΗΣ ΟΙΚΟΝΟΜΙΑΣ &amp; ΟΙΚΟΝΟΜΙΚΩΝ</w:t>
      </w:r>
    </w:p>
    <w:p>
      <w:pPr>
        <w:pStyle w:val="PreambelText"/>
        <w:spacing w:before="240" w:after="240"/>
        <w:rPr>
          <w:lang w:val="el" w:eastAsia="el"/>
        </w:rPr>
      </w:pPr>
      <w:r>
        <w:rPr>
          <w:b/>
          <w:bCs/>
          <w:lang w:val="el" w:eastAsia="el"/>
        </w:rPr>
        <w:t>Α. ΓΡΑΦΕΙΟ ΥΦΥΠΟΥΡΓΟΥ</w:t>
      </w:r>
    </w:p>
    <w:p>
      <w:pPr>
        <w:pStyle w:val="PreambelText"/>
        <w:spacing w:before="240" w:after="240"/>
        <w:rPr>
          <w:lang w:val="el" w:eastAsia="el"/>
        </w:rPr>
      </w:pPr>
      <w:r>
        <w:rPr>
          <w:b/>
          <w:bCs/>
          <w:lang w:val="el" w:eastAsia="el"/>
        </w:rPr>
        <w:t>Β. ΓΕΝΙΚΗ ΓΡΑΜΜΑΤΕΙΑ ΔΗΜΟΣΙΟΝΟΜΙΚΗΣ</w:t>
      </w:r>
    </w:p>
    <w:p>
      <w:pPr>
        <w:pStyle w:val="PreambelText"/>
        <w:spacing w:before="240" w:after="240"/>
        <w:rPr>
          <w:lang w:val="el" w:eastAsia="el"/>
        </w:rPr>
      </w:pPr>
      <w:r>
        <w:rPr>
          <w:b/>
          <w:bCs/>
          <w:lang w:val="el" w:eastAsia="el"/>
        </w:rPr>
        <w:t>ΠΟΛΙΤΙΚΗΣ</w:t>
      </w:r>
    </w:p>
    <w:p>
      <w:pPr>
        <w:pStyle w:val="PreambelText"/>
        <w:spacing w:before="240" w:after="240"/>
        <w:rPr>
          <w:lang w:val="el" w:eastAsia="el"/>
        </w:rPr>
      </w:pPr>
      <w:r>
        <w:rPr>
          <w:b/>
          <w:bCs/>
          <w:lang w:val="el" w:eastAsia="el"/>
        </w:rPr>
        <w:t>ΓΕΝΙΚΗ ΔΙΕΥΘΥΝΣΗ ΘΗΣΑΥΡΟΦΥΛΑΚΙΟΥ &amp;</w:t>
      </w:r>
    </w:p>
    <w:p>
      <w:pPr>
        <w:pStyle w:val="PreambelText"/>
        <w:spacing w:before="240" w:after="240"/>
        <w:rPr>
          <w:lang w:val="el" w:eastAsia="el"/>
        </w:rPr>
      </w:pPr>
      <w:r>
        <w:rPr>
          <w:b/>
          <w:bCs/>
          <w:lang w:val="el" w:eastAsia="el"/>
        </w:rPr>
        <w:t>ΔΗΜΟΣΙΟΝΟΜΙΚΩΝ ΚΑΝΟΝΩΝ</w:t>
      </w:r>
    </w:p>
    <w:p>
      <w:pPr>
        <w:pStyle w:val="PreambelText"/>
        <w:spacing w:before="240" w:after="240"/>
        <w:rPr>
          <w:lang w:val="el" w:eastAsia="el"/>
        </w:rPr>
      </w:pPr>
      <w:r>
        <w:rPr>
          <w:b/>
          <w:bCs/>
          <w:lang w:val="el" w:eastAsia="el"/>
        </w:rPr>
        <w:t>Δ/ΝΣΗ ΛΟΓΑΡΙΑΣΜΩΝ ΚΑΙ ΤΑΜΕΙΑΚΟΥ</w:t>
      </w:r>
    </w:p>
    <w:p>
      <w:pPr>
        <w:pStyle w:val="PreambelText"/>
        <w:spacing w:before="240" w:after="240"/>
        <w:rPr>
          <w:lang w:val="el" w:eastAsia="el"/>
        </w:rPr>
      </w:pPr>
      <w:r>
        <w:rPr>
          <w:b/>
          <w:bCs/>
          <w:lang w:val="el" w:eastAsia="el"/>
        </w:rPr>
        <w:t>ΠΡΟΓΡΑΜΜΑΤΙΣΜΟΥ</w:t>
      </w:r>
    </w:p>
    <w:p>
      <w:pPr>
        <w:pStyle w:val="PreambelText"/>
        <w:spacing w:before="240" w:after="24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sz w:val="30"/>
          <w:szCs w:val="30"/>
          <w:vertAlign w:val="subscript"/>
          <w:lang w:val="el" w:eastAsia="el"/>
        </w:rPr>
        <w:t>■</w:t>
      </w:r>
    </w:p>
    <w:p>
      <w:pPr>
        <w:pStyle w:val="PreambelText"/>
        <w:spacing w:before="240" w:after="240"/>
        <w:rPr>
          <w:lang w:val="el" w:eastAsia="el"/>
        </w:rPr>
      </w:pPr>
      <w:r>
        <w:rPr>
          <w:b/>
          <w:bCs/>
          <w:lang w:val="el" w:eastAsia="el"/>
        </w:rPr>
        <w:t>ΑΑΔΕ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Δημοσίων Εσόδων</w:t>
      </w:r>
    </w:p>
    <w:p>
      <w:pPr>
        <w:pStyle w:val="PreambelText"/>
        <w:spacing w:before="240" w:after="240"/>
        <w:rPr>
          <w:lang w:val="el" w:eastAsia="el"/>
        </w:rPr>
      </w:pPr>
      <w:r>
        <w:rPr>
          <w:b/>
          <w:bCs/>
          <w:lang w:val="el" w:eastAsia="el"/>
        </w:rPr>
        <w:t>Α. ΓΕΝΙΚΗ ΔΙΕΥΘΥΝΣΗ ΤΕΛΩΝΕΙΩΝ &amp; Ε.Φ.Κ.</w:t>
      </w:r>
    </w:p>
    <w:p>
      <w:pPr>
        <w:pStyle w:val="PreambelText"/>
        <w:spacing w:before="240" w:after="240"/>
        <w:rPr>
          <w:lang w:val="el" w:eastAsia="el"/>
        </w:rPr>
      </w:pPr>
      <w:r>
        <w:rPr>
          <w:b/>
          <w:bCs/>
          <w:lang w:val="el" w:eastAsia="el"/>
        </w:rPr>
        <w:t>ΔΙΕΥΘΥΝΣΗ ΕΙΔΙΚΩΝ ΦΟΡΩΝ ΚΑΤΑΝΑΛΩΣΗΣ &amp;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ΤΕΛΩΝΕΙΑΚΩΝ,</w:t>
      </w:r>
    </w:p>
    <w:p>
      <w:pPr>
        <w:spacing w:before="240" w:after="240"/>
        <w:rPr>
          <w:lang w:val="el" w:eastAsia="el"/>
        </w:rPr>
      </w:pPr>
      <w:r>
        <w:rPr>
          <w:b/>
          <w:bCs/>
          <w:lang w:val="el" w:eastAsia="el"/>
        </w:rPr>
        <w:t>ΕΛΕΓΚΤΙΚΩΝ ΚΑΙ ΕΠΙΧΕΙΡΗΣΙΑΚΩΝ ΕΦΑΡΜΟΓΩΝ</w:t>
      </w:r>
    </w:p>
    <w:p>
      <w:pPr>
        <w:spacing w:before="240" w:after="240"/>
        <w:rPr>
          <w:lang w:val="el" w:eastAsia="el"/>
        </w:rPr>
      </w:pPr>
      <w:r>
        <w:rPr>
          <w:b/>
          <w:bCs/>
          <w:lang w:val="el" w:eastAsia="el"/>
        </w:rPr>
        <w:t>ΥΠΟΔΙΕΥΘΥΝΣΗ ΑΝΑΠΤΥΞΗΣ ΤΕΛΩΝΕΙΑΚΩΝ ΕΦΑΡΜΟΓΩΝ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 ΔΙΕΥΘΥΝΣΗ ΑΝΑΠΤΥΞΗΣ ΦΟΡΟΛΟΓΙΚΩΝ ΕΦΑΡΜΟΓΩΝ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 xml:space="preserve">III. </w:t>
      </w:r>
      <w:r>
        <w:rPr>
          <w:b/>
          <w:bCs/>
          <w:lang w:val="el" w:eastAsia="el"/>
        </w:rPr>
        <w:t>ΔΙΕΥΘΥΝΣΗ ΔΙΑΧΕΙΡΙΣΗΣ ΥΠΟΔΟΜΩΝ ΤΜΗΜΑ Α΄</w:t>
      </w:r>
    </w:p>
    <w:p>
      <w:pPr>
        <w:spacing w:before="240" w:after="240"/>
        <w:rPr>
          <w:lang w:val="el" w:eastAsia="el"/>
        </w:rPr>
      </w:pPr>
      <w:r>
        <w:rPr>
          <w:lang w:val="el" w:eastAsia="el"/>
        </w:rPr>
        <w:t xml:space="preserve">IV. </w:t>
      </w:r>
      <w:r>
        <w:rPr>
          <w:b/>
          <w:bCs/>
          <w:lang w:val="el" w:eastAsia="el"/>
        </w:rPr>
        <w:t>ΔΙΕΥΘΥΝΣΗ ΕΠΙΧΕΙΡΗΣΙΑΚΩΝ ΔΙΑΔΙΚΑΣΙΩΝ – ΥΠΟΔΙΕΥΘΥΝΣΗ Α΄ΑΠΑΙΤΗΣΕΩΝ ΚΑΙ ΕΛΕΓΧΟΥ ΕΦΑΡΜΟΓΩΝ ΦΟΡΟΛΟΓΙΑΣ -ΤΜΗΜΑ Β΄ Γ. ΓΕΝΙΚΗ ΔΙΕΥΘΥΝΣΗ ΦΟΡΟΛΟΓΙΑΣ Ι. ΔΙΕΥΘΥΝΣΗ ΔΙΑΔΙΚΑΣΙΩΝ ΕΙΣΠΡΑΞΕΩΝ ΚΑΙ ΕΠΙΣΤΡΟΦΩΝ ΤΜΗΜΑ Α΄</w:t>
      </w:r>
    </w:p>
    <w:p>
      <w:pPr>
        <w:spacing w:before="240" w:after="240"/>
        <w:rPr>
          <w:lang w:val="el" w:eastAsia="el"/>
        </w:rPr>
      </w:pPr>
      <w:r>
        <w:rPr>
          <w:b/>
          <w:bCs/>
          <w:lang w:val="el" w:eastAsia="el"/>
        </w:rPr>
        <w:t>ΙΙ. ΔΙΕΥΘΥΝΣΗ ΕΛΕΓΚΤΙΚΩΝ ΔΙΑΔΙΚΑΣΙΩΝ ΤΜΗΜΑ Α΄</w:t>
      </w:r>
    </w:p>
    <w:p>
      <w:pPr>
        <w:spacing w:before="240" w:after="240"/>
        <w:rPr>
          <w:lang w:val="el" w:eastAsia="el"/>
        </w:rPr>
      </w:pPr>
      <w:r>
        <w:rPr>
          <w:lang w:val="el" w:eastAsia="el"/>
        </w:rPr>
        <w:t xml:space="preserve">3. </w:t>
      </w:r>
      <w:r>
        <w:rPr>
          <w:b/>
          <w:bCs/>
          <w:lang w:val="el" w:eastAsia="el"/>
        </w:rPr>
        <w:t>ΥΠΟΥΡΓΕΙΟ ΑΓΡΟΤΙΚΗΣ ΑΝΑΠΤΥΞΗΣ ΚΑΙ ΤΡΟΦΙΜΩΝ</w:t>
      </w:r>
    </w:p>
    <w:p>
      <w:pPr>
        <w:spacing w:before="240" w:after="240"/>
        <w:rPr>
          <w:lang w:val="el" w:eastAsia="el"/>
        </w:rPr>
      </w:pPr>
      <w:r>
        <w:rPr>
          <w:b/>
          <w:bCs/>
          <w:lang w:val="el" w:eastAsia="el"/>
        </w:rPr>
        <w:t>ΓΕΝΙΚΗ ΓΡΑΜΜΑΤΕΙΑ ΑΓΡΟΤΙΚΗΣ ΑΝΑΠΤΥΞΗΣ ΚΑΙ ΤΡΟΦΙΜΩΝ</w:t>
      </w:r>
    </w:p>
    <w:p>
      <w:pPr>
        <w:spacing w:before="240" w:after="240"/>
        <w:rPr>
          <w:lang w:val="el" w:eastAsia="el"/>
        </w:rPr>
      </w:pPr>
      <w:r>
        <w:rPr>
          <w:b/>
          <w:bCs/>
          <w:lang w:val="el" w:eastAsia="el"/>
        </w:rPr>
        <w:t>A.ΓΕΝΙΚΗ ΔΙΕΥΘΥΝΣΗ ΑΠΟΚΕΝΤΡΩΜΕΝΩΝ ΔΟΜΩΝ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ΥΠΟΣΤΗΡΙΞΗΣ ΚΑΙ ΜΗΤΡΩΟΥ ΑΓΡΟΤΩΝ ΚΑΙ ΑΓΡΟΤΙΚΩΝ ΕΚΜΕΤΑΛΛΕΥΣΕΩΝ</w:t>
      </w:r>
    </w:p>
    <w:p>
      <w:pPr>
        <w:spacing w:before="240" w:after="240"/>
        <w:rPr>
          <w:lang w:val="el" w:eastAsia="el"/>
        </w:rPr>
      </w:pPr>
      <w:r>
        <w:rPr>
          <w:lang w:val="el" w:eastAsia="el"/>
        </w:rPr>
        <w:t xml:space="preserve">B. </w:t>
      </w:r>
      <w:r>
        <w:rPr>
          <w:b/>
          <w:bCs/>
          <w:lang w:val="el" w:eastAsia="el"/>
        </w:rPr>
        <w:t>ΓΕΝΙΚΗ ΔΙΕΥΘΥΝΣΗ ΔΙΟΙΚΗΤΙΚΩΝ</w:t>
      </w:r>
    </w:p>
    <w:p>
      <w:pPr>
        <w:spacing w:before="240" w:after="240"/>
        <w:rPr>
          <w:lang w:val="el" w:eastAsia="el"/>
        </w:rPr>
      </w:pPr>
      <w:r>
        <w:rPr>
          <w:b/>
          <w:bCs/>
          <w:lang w:val="el" w:eastAsia="el"/>
        </w:rPr>
        <w:t>ΥΠΗΡΕΣΙΩΝ ΚΑΙ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ΗΛΕΚΤΡΟΝΙΚΗΣ ΔΙΑΚΥΒΕΡΝΗΣΗΣ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ΔΙΑΧΕΙΡΙΣΗΣ DATA CENTER, ΔΙΚΤΥΩΝ</w:t>
      </w:r>
    </w:p>
    <w:p>
      <w:pPr>
        <w:spacing w:before="240" w:after="240"/>
        <w:rPr>
          <w:lang w:val="el" w:eastAsia="el"/>
        </w:rPr>
      </w:pPr>
      <w:r>
        <w:rPr>
          <w:b/>
          <w:bCs/>
          <w:lang w:val="el" w:eastAsia="el"/>
        </w:rPr>
        <w:t>ΚΑΙ ΒΑΣΕΩΝ ΔΕΔΟΜΕΝΩΝ</w:t>
      </w:r>
    </w:p>
    <w:p>
      <w:pPr>
        <w:spacing w:before="240" w:after="240"/>
        <w:rPr>
          <w:lang w:val="el" w:eastAsia="el"/>
        </w:rPr>
      </w:pPr>
      <w:r>
        <w:rPr>
          <w:b/>
          <w:bCs/>
          <w:lang w:val="el" w:eastAsia="el"/>
        </w:rPr>
        <w:t>ΘΕΜΑ: «Τροποποίηση της υπό στοιχεία Α.1173/2024 κοινής απόφασης των Υφυπουργών Εθνικής Οικονομίας και Οικονομικών και του Υπουργού Αγροτικής Ανάπτυξης και Τροφίμων «Όροι, προϋποθέσεις και διαδικασία χορήγησης της επιστροφής του ειδικού φόρου κατανάλωσης του πετρελαίου εσωτερικής καύσης (DIESEL) κινητήρων της περ. στ’ της παρ. 1 του άρθρου 73 του ν. 2960/2001 (Α’ 265) που χρησιμοποιείται αποκλειστικά στη γεωργία για το έτος 2025, χρόνος επιστροφής, δικαιούχα επιστροφής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 (Β΄6741)</w:t>
      </w:r>
    </w:p>
    <w:p>
      <w:pPr>
        <w:spacing w:before="240" w:after="240"/>
        <w:rPr>
          <w:lang w:val="el" w:eastAsia="el"/>
        </w:rPr>
      </w:pPr>
      <w:r>
        <w:rPr>
          <w:b/>
          <w:bCs/>
          <w:lang w:val="el" w:eastAsia="el"/>
        </w:rPr>
        <w:t>ΟΙ ΥΦΥΠΟΥΡΓΟΙΕΘΝΙΚΗΣ ΟΙΚΟΝΟΜΙΑΣ ΚΑΙ ΟΙΚΟΝΟΜΙΚΩΝΚΑΙ Ο ΥΠΟΥΡΓΟΣΑΓΡΟΤΙΚΗΣ ΑΝΑΠΤΥΞΗΣ ΚΑΙ ΤΡΟΦΙΜΩΝ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στ) της παρ. 1 του άρθρου 71, της παρ. 4 του άρθρου 76 και της παρ. 27 του άρθρου 196 του ν. 5222/2025 «Εθνικός Τελωνειακός Κώδικας και άλλες διατάξεις - Συνταξιοδοτικές διατάξεις» ( Α΄134),</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(π.δ. 63/2005, Α’98), που διατηρήθηκε σε ισχύ με την περ. 22 του άρθρου 119 του ν. 4622/2019 (Α’ 133), γ)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 δ) της παρ. 3 του άρθρου 13 του ν. 1947/1991 (Α’ 70),</w:t>
      </w:r>
    </w:p>
    <w:p>
      <w:pPr>
        <w:pStyle w:val="StructureList1"/>
        <w:spacing w:before="120" w:after="0"/>
        <w:rPr>
          <w:lang w:val="el" w:eastAsia="el"/>
        </w:rPr>
      </w:pPr>
      <w:r>
        <w:rPr>
          <w:lang w:val="el" w:eastAsia="el"/>
        </w:rPr>
        <w:t>ε)</w:t>
      </w:r>
      <w:r>
        <w:rPr>
          <w:lang w:val="en" w:eastAsia="en"/>
        </w:rPr>
        <w:tab/>
      </w:r>
      <w:r>
        <w:rPr>
          <w:lang w:val="el" w:eastAsia="el"/>
        </w:rPr>
        <w:t>του άρθρου 14 του ν. 2892/2001 (Α’ 46),</w:t>
      </w:r>
    </w:p>
    <w:p>
      <w:pPr>
        <w:pStyle w:val="StructureList1"/>
        <w:spacing w:before="120" w:after="0"/>
        <w:rPr>
          <w:lang w:val="el" w:eastAsia="el"/>
        </w:rPr>
      </w:pPr>
      <w:r>
        <w:rPr>
          <w:lang w:val="el" w:eastAsia="el"/>
        </w:rPr>
        <w:t>στ)</w:t>
      </w:r>
      <w:r>
        <w:rPr>
          <w:lang w:val="en" w:eastAsia="en"/>
        </w:rPr>
        <w:tab/>
      </w:r>
      <w:r>
        <w:rPr>
          <w:lang w:val="el" w:eastAsia="el"/>
        </w:rPr>
        <w:t>του άρθρου 12, της παρ. 1 του άρθρου 42, του άρθρου 43 και της παρ. 2 του άρθρου 47 του ν. 5104/2024 «Κώδικας Φορολογικής Διαδικασίας και άλλες διατάξεις» (Α’ 58),</w:t>
      </w:r>
    </w:p>
    <w:p>
      <w:pPr>
        <w:pStyle w:val="StructureList1"/>
        <w:spacing w:before="120" w:after="0"/>
        <w:rPr>
          <w:lang w:val="el" w:eastAsia="el"/>
        </w:rPr>
      </w:pPr>
      <w:r>
        <w:rPr>
          <w:lang w:val="el" w:eastAsia="el"/>
        </w:rPr>
        <w:t>ζ)</w:t>
      </w:r>
      <w:r>
        <w:rPr>
          <w:lang w:val="en" w:eastAsia="en"/>
        </w:rPr>
        <w:tab/>
      </w:r>
      <w:r>
        <w:rPr>
          <w:lang w:val="el" w:eastAsia="el"/>
        </w:rPr>
        <w:t>των άρθρων 3 και 75 του Κώδικα Εισπράξεως Δημοσίων Εσόδων (ν. 4978/2022, Α’190),</w:t>
      </w:r>
    </w:p>
    <w:p>
      <w:pPr>
        <w:pStyle w:val="StructureList1"/>
        <w:spacing w:before="120" w:after="0"/>
        <w:rPr>
          <w:lang w:val="el" w:eastAsia="el"/>
        </w:rPr>
      </w:pPr>
      <w:r>
        <w:rPr>
          <w:lang w:val="el" w:eastAsia="el"/>
        </w:rPr>
        <w:t>η)</w:t>
      </w:r>
      <w:r>
        <w:rPr>
          <w:lang w:val="en" w:eastAsia="en"/>
        </w:rPr>
        <w:tab/>
      </w:r>
      <w:r>
        <w:rPr>
          <w:lang w:val="el" w:eastAsia="el"/>
        </w:rPr>
        <w:t>της υποπαρ. IA.2 της παρ. ΙΑ του άρθρου πρώτου του Κεφαλαίου Α’ του ν. 4254/2014 (Α’85), θ)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ι)</w:t>
      </w:r>
      <w:r>
        <w:rPr>
          <w:lang w:val="en" w:eastAsia="en"/>
        </w:rPr>
        <w:tab/>
      </w:r>
      <w:r>
        <w:rPr>
          <w:lang w:val="el" w:eastAsia="el"/>
        </w:rPr>
        <w:t>του άρθρου 18 του ν. 3522/2006 (Α’ 276),</w:t>
      </w:r>
    </w:p>
    <w:p>
      <w:pPr>
        <w:pStyle w:val="StructureList1"/>
        <w:spacing w:before="120" w:after="0"/>
        <w:rPr>
          <w:lang w:val="el" w:eastAsia="el"/>
        </w:rPr>
      </w:pPr>
      <w:r>
        <w:rPr>
          <w:lang w:val="el" w:eastAsia="el"/>
        </w:rPr>
        <w:t>ια)</w:t>
      </w:r>
      <w:r>
        <w:rPr>
          <w:lang w:val="en" w:eastAsia="en"/>
        </w:rPr>
        <w:tab/>
      </w:r>
      <w:r>
        <w:rPr>
          <w:lang w:val="el" w:eastAsia="el"/>
        </w:rPr>
        <w:t>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ιβ)</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ιγ)</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ιδ)</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 139),</w:t>
      </w:r>
    </w:p>
    <w:p>
      <w:pPr>
        <w:pStyle w:val="StructureList1"/>
        <w:spacing w:before="120" w:after="0"/>
        <w:rPr>
          <w:lang w:val="el" w:eastAsia="el"/>
        </w:rPr>
      </w:pPr>
      <w:r>
        <w:rPr>
          <w:lang w:val="el" w:eastAsia="el"/>
        </w:rPr>
        <w:t>ιε)</w:t>
      </w:r>
      <w:r>
        <w:rPr>
          <w:lang w:val="en" w:eastAsia="en"/>
        </w:rPr>
        <w:tab/>
      </w:r>
      <w:r>
        <w:rPr>
          <w:lang w:val="el" w:eastAsia="el"/>
        </w:rPr>
        <w:t>του π.δ. 79/2023 «Διορισμός Υπουργών, Αναπληρωτών Υπουργών και Υφυπουργών» (Α’ 131), ιστ) του π.δ. 32/2024 «Διορισμός Υπουργών και Υφυπουργών» (Α’ 91),</w:t>
      </w:r>
    </w:p>
    <w:p>
      <w:pPr>
        <w:pStyle w:val="StructureList1"/>
        <w:spacing w:before="120" w:after="0"/>
        <w:rPr>
          <w:lang w:val="el" w:eastAsia="el"/>
        </w:rPr>
      </w:pPr>
      <w:r>
        <w:rPr>
          <w:lang w:val="el" w:eastAsia="el"/>
        </w:rPr>
        <w:t>ιζ)</w:t>
      </w:r>
      <w:r>
        <w:rPr>
          <w:lang w:val="en" w:eastAsia="en"/>
        </w:rPr>
        <w:tab/>
      </w:r>
      <w:r>
        <w:rPr>
          <w:lang w:val="el" w:eastAsia="el"/>
        </w:rPr>
        <w:t>του π.δ. 27/2025 «Διορισμός Υπουργών, Αναπληρωτή Υπουργού, Υφυπουργών και Αντιπροέδρου της Κυβέρνησης» (Α' 44),</w:t>
      </w:r>
    </w:p>
    <w:p>
      <w:pPr>
        <w:pStyle w:val="StructureList1"/>
        <w:spacing w:before="120" w:after="0"/>
        <w:rPr>
          <w:lang w:val="el" w:eastAsia="el"/>
        </w:rPr>
      </w:pPr>
      <w:r>
        <w:rPr>
          <w:lang w:val="el" w:eastAsia="el"/>
        </w:rPr>
        <w:t>ιη)</w:t>
      </w:r>
      <w:r>
        <w:rPr>
          <w:lang w:val="en" w:eastAsia="en"/>
        </w:rPr>
        <w:tab/>
      </w:r>
      <w:r>
        <w:rPr>
          <w:lang w:val="el" w:eastAsia="el"/>
        </w:rPr>
        <w:t>του π.δ. 97/2017 «Οργανισμός Υπουργείου Αγροτικής Ανάπτυξης και Τροφίμων» (Α’ 138).</w:t>
      </w:r>
    </w:p>
    <w:p>
      <w:pPr>
        <w:spacing w:before="240" w:after="240"/>
        <w:rPr>
          <w:lang w:val="el" w:eastAsia="el"/>
        </w:rPr>
      </w:pPr>
      <w:r>
        <w:rPr>
          <w:lang w:val="el" w:eastAsia="el"/>
        </w:rPr>
        <w:t>2. Την υπό στοιχεία Α.1162/19-10-2023 κοινή απόφαση του Υφυπουργού Εθνικής Οικονομίας και Οικονομικών και του Διοικητή της ΑΑΔΕ «Αποδεικτικό Ενημερότητας άρθρου 12 του Κώδικα Φορολογικής Διαδικασίας (ΚΦΔ, ν. 4987/2022, Α’206)» (Β’ 6129) και ειδικότερα την περ. ζ του άρθρου 2 αυτής.</w:t>
      </w:r>
    </w:p>
    <w:p>
      <w:pPr>
        <w:spacing w:before="240" w:after="240"/>
        <w:rPr>
          <w:lang w:val="el" w:eastAsia="el"/>
        </w:rPr>
      </w:pPr>
      <w:r>
        <w:rPr>
          <w:lang w:val="el" w:eastAsia="el"/>
        </w:rPr>
        <w:t>3. Την υπ’ αρ. 15435/913/16.04.2020 απόφαση του Υπουργού Εργασίας και Κοινωνικών Υποθέσεων «Διαδικασία χορήγησης και περιεχόμενο του Αποδεικτικού Ασφαλιστικής Ενημερότητας και της Βεβαίωσης Οφειλής του e-ΕΦΚΑ» (Β’ 1559) και ειδικότερα το άρθρο 2 αυτής.</w:t>
      </w:r>
    </w:p>
    <w:p>
      <w:pPr>
        <w:spacing w:before="240" w:after="240"/>
        <w:rPr>
          <w:lang w:val="el" w:eastAsia="el"/>
        </w:rPr>
      </w:pPr>
      <w:r>
        <w:rPr>
          <w:lang w:val="el" w:eastAsia="el"/>
        </w:rPr>
        <w:t>4. Την υπό στοιχεία 47542 ΕΞ2025/19.03.2025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 1327).</w:t>
      </w:r>
    </w:p>
    <w:p>
      <w:pPr>
        <w:spacing w:before="240" w:after="240"/>
        <w:rPr>
          <w:lang w:val="el" w:eastAsia="el"/>
        </w:rPr>
      </w:pPr>
      <w:r>
        <w:rPr>
          <w:lang w:val="el" w:eastAsia="el"/>
        </w:rPr>
        <w:t>5. Την υπό στοιχεία 102928 ΕΞ2023/10.07.2023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6. Την υπό στοιχεία Δ.ΟΡΓ.Α1125859 ΕΞ2020/23.10.2020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Ανεξάρτητης Αρχής Δημοσίων Εσόδων, υπό στοιχεία 5294 ΕΞ2020/17-01-2020 (Υ.Ο.Δ.Δ. 27) του Υπουργού Οικονομικών και υπό στοιχεία 7608 ΕΞ2025/17-01-2025 (Υ.Ο.Δ.Δ. 11) του Υπουργού Εθνικής Οικονομίας και Οικονομικών, με θέμα «Ανανέωση της θητείας του Διοικητή της Ανεξάρτητης Αρχής Δημοσίων Εσόδων (Α.Α.Δ.Ε.)».</w:t>
      </w:r>
    </w:p>
    <w:p>
      <w:pPr>
        <w:spacing w:before="240" w:after="240"/>
        <w:rPr>
          <w:lang w:val="el" w:eastAsia="el"/>
        </w:rPr>
      </w:pPr>
      <w:r>
        <w:rPr>
          <w:lang w:val="el" w:eastAsia="el"/>
        </w:rPr>
        <w:t>8. Την υπό στοιχεία Α.1173/20.11.2024 κοινή απόφαση των Υφυπουργών Εθνικής Οικονομίας και Οικονομικών και του Υπουργού Αγροτικής Ανάπτυξης και Τροφίμων «Όροι, προϋποθέσεις και διαδικασία χορήγησης της επιστροφής του ειδικού φόρου κατανάλωσης του πετρελαίου εσωτερικής καύσης (DIESEL) κινητήρων της περ. στ’ της παρ. 1 του άρθρου 73 του ν. 2960/2001 (Α’ 265) που χρησιμοποιείται αποκλειστικά στη γεωργία για το έτος 2025, χρόνος επιστροφής, δικαιούχα επιστροφής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 (Β΄6741).</w:t>
      </w:r>
    </w:p>
    <w:p>
      <w:pPr>
        <w:spacing w:before="240" w:after="240"/>
        <w:rPr>
          <w:lang w:val="el" w:eastAsia="el"/>
        </w:rPr>
      </w:pPr>
      <w:r>
        <w:rPr>
          <w:lang w:val="el" w:eastAsia="el"/>
        </w:rPr>
        <w:t>9. Την ανάγκη τροποποίησης της υπό στοιχεία Α.1173/20.11.2024 κοινής απόφασης, ως προς τους όρους και τις προϋποθέσεις για την επιστροφή του ειδικού φόρου κατανάλωσης του πετρελαίου εσωτερικής καύσης (DIESEL) κινητήρων της παρ. 4 του άρθρου 76 του ν.5222/2025 που χρησιμοποιείται αποκλειστικά στη γεωργία για το έτος 2025, λαμβάνοντας υπόψη τα πραγματικά δεδομένα που απορρέουν από τα παραστατικά αγορών.</w:t>
      </w:r>
    </w:p>
    <w:p>
      <w:pPr>
        <w:spacing w:before="240" w:after="240"/>
        <w:rPr>
          <w:lang w:val="el" w:eastAsia="el"/>
        </w:rPr>
      </w:pPr>
      <w:r>
        <w:rPr>
          <w:lang w:val="el" w:eastAsia="el"/>
        </w:rPr>
        <w:t>10. Την από 14.11.2025 εισήγηση του Διοικητή της Ανεξάρτητης Αρχής Δημοσίων Εσόδων.</w:t>
      </w:r>
    </w:p>
    <w:p>
      <w:pPr>
        <w:spacing w:before="240" w:after="240"/>
        <w:rPr>
          <w:lang w:val="el" w:eastAsia="el"/>
        </w:rPr>
      </w:pPr>
      <w:r>
        <w:rPr>
          <w:lang w:val="el" w:eastAsia="el"/>
        </w:rPr>
        <w:t>11. Το γεγονός ότι με τις διατάξεις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12. Το γεγονός ότι οι διατάξεις της παρούσας δεν αφορούν σε διοικητική διαδικασία για την οποία υπάρχει υποχρέωση καταχώρισης στο ΕΜΔΔ – 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Η υπό στοιχεία Α. 1173/20.11.2024 κοινή απόφαση των Υφυπουργών Εθνικής Οικονομίας και Οικονομικών και του Υπουργού Αγροτικής Ανάπτυξης και Τροφίμων «Όροι, προϋποθέσεις και διαδικασία χορήγησης της επιστροφής του ειδικού φόρου κατανάλωσης του πετρελαίου εσωτερικής καύσης (DIESEL) κινητήρων της περ. στ’ της παρ. 1 του άρθρου 73 του ν. 2960/2001 (Α’ 265) που χρησιμοποιείται αποκλειστικά στη γεωργία για το έτος 2025, χρόνος επιστροφής, δικαιούχα επιστροφής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 τροποποιείται, ως ακολούθως:</w:t>
      </w:r>
    </w:p>
    <w:p>
      <w:pPr>
        <w:pStyle w:val="MainText"/>
        <w:spacing w:before="120" w:after="0"/>
        <w:rPr>
          <w:lang w:val="el" w:eastAsia="el"/>
        </w:rPr>
      </w:pPr>
      <w:r>
        <w:rPr>
          <w:b/>
          <w:bCs/>
          <w:lang w:val="el" w:eastAsia="el"/>
        </w:rPr>
        <w:t>1.</w:t>
      </w:r>
      <w:r>
        <w:rPr>
          <w:lang w:val="el" w:eastAsia="el"/>
        </w:rPr>
        <w:t xml:space="preserve"> Ο τίτλος τροποποιείται, ως εξής:</w:t>
      </w:r>
    </w:p>
    <w:p>
      <w:pPr>
        <w:spacing w:before="240" w:after="240"/>
        <w:rPr>
          <w:lang w:val="el" w:eastAsia="el"/>
        </w:rPr>
      </w:pPr>
      <w:r>
        <w:rPr>
          <w:lang w:val="el" w:eastAsia="el"/>
        </w:rPr>
        <w:t>«Όροι, προϋποθέσεις και διαδικασία χορήγησης της επιστροφής του ειδικού φόρου κατανάλωσης του πετρελαίου εσωτερικής καύσης (DIESEL) κινητήρων της περ. στ) της παρ. 1 του άρθρου 71 του ν. 5222/2025 (Α’ 134) που χρησιμοποιείται αποκλειστικά στη γεωργία για το έτος 2025, χρόνος επιστροφής, δικαιούχα επιστροφής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w:t>
      </w:r>
    </w:p>
    <w:p>
      <w:pPr>
        <w:pStyle w:val="MainText"/>
        <w:spacing w:before="120" w:after="0"/>
        <w:rPr>
          <w:lang w:val="el" w:eastAsia="el"/>
        </w:rPr>
      </w:pPr>
      <w:r>
        <w:rPr>
          <w:b/>
          <w:bCs/>
          <w:lang w:val="el" w:eastAsia="el"/>
        </w:rPr>
        <w:t>2.</w:t>
      </w:r>
      <w:r>
        <w:rPr>
          <w:lang w:val="el" w:eastAsia="el"/>
        </w:rPr>
        <w:t xml:space="preserve"> Όπου στις διατάξεις της ανωτέρω απόφασης γίνεται αναφορά στην «περ. στ΄ της παρ. 1 του άρθρου 73 του ν. 2960/2001» αντικαθίσταται από την «περ. στ) της παρ. 1 του άρθρου 71 του ν.5222/2025».</w:t>
      </w:r>
    </w:p>
    <w:p>
      <w:pPr>
        <w:pStyle w:val="MainText"/>
        <w:spacing w:before="120" w:after="0"/>
        <w:rPr>
          <w:lang w:val="el" w:eastAsia="el"/>
        </w:rPr>
      </w:pPr>
      <w:r>
        <w:rPr>
          <w:b/>
          <w:bCs/>
          <w:lang w:val="el" w:eastAsia="el"/>
        </w:rPr>
        <w:t>3.</w:t>
      </w:r>
      <w:r>
        <w:rPr>
          <w:lang w:val="el" w:eastAsia="el"/>
        </w:rPr>
        <w:t xml:space="preserve"> Η παρ. 2 του άρθρου 3 αντικαθίσταται, ως εξής:</w:t>
      </w:r>
    </w:p>
    <w:p>
      <w:pPr>
        <w:spacing w:before="240" w:after="240"/>
        <w:rPr>
          <w:lang w:val="el" w:eastAsia="el"/>
        </w:rPr>
      </w:pPr>
      <w:r>
        <w:rPr>
          <w:lang w:val="el" w:eastAsia="el"/>
        </w:rPr>
        <w:t xml:space="preserve">«2. Η ετήσια επιδοτούμενη ποσότητα του πετρελαίου κινητήρων της παρ. 1, δεν δύναται να υπερβαίνει την μέγιστη ετήσια δικαιούμενη ποσότητα που απαιτείται για την εκτέλεση κάθε είδους εργασιών σχετικά με καλλιέργεια ή ομάδα καλλιεργειών του Παραρτήματος Ι, προσαυξημένη κατά πενήντα τοις εκατό (50%), καθώς και σε κάθε κατηγορία ή είδος ζωικού κεφαλαίου του Παραρτήματος IΙ, προσαυξημένη κατά πενήντα τοις εκατό (50%), </w:t>
      </w:r>
    </w:p>
    <w:p>
      <w:pPr>
        <w:spacing w:before="240" w:after="240"/>
        <w:rPr>
          <w:lang w:val="el" w:eastAsia="el"/>
        </w:rPr>
      </w:pPr>
      <w:r>
        <w:rPr>
          <w:lang w:val="el" w:eastAsia="el"/>
        </w:rPr>
        <w:t>όπως αυτή προσδιορίζεται από τους δείκτες μηχανικής απασχόλησης (απαιτούμενης ενέργειας) των Παραρτημάτων Ι και ΙΙ και σύμφωνα με τα στοιχεία της Ε.Α.Ε. του εκάστοτε τρέχοντος έτους, όπως αυτά έχουν διαμορφωθεί την 1η Οκτωβρίου εκάστου έτους. Ειδικά για τα πρόσωπα που έχουν υποβάλλει Ε.Α.Ε. για το προηγούμενο του τρέχοντος έτους και για την ανάγκη των πρώτων δύο χρονικά καταβολών τωνυποπερ. αα. και αβ. της περ. α. της παρ. 1 του άρθρου 4, για τον υπολογισμό της μέγιστης δικαιούμενης ποσότητας λαμβάνονται υπόψη τα στοιχεία της Ε.Α.Ε. του προηγούμενου του τρέχοντος έτους. Στη συνέχεια η μέγιστη δικαιούμενη ποσότητα για τις καταβολές των υποπερ. αγ., αδ. και αε. της περ. α. της παρ. 1 του άρθρου 4 αναπροσαρμόζεται με βάση τα στοιχεία της Ε.Α.Ε. του τρέχοντος έτους. Σε περίπτωση που η μέγιστη δικαιούμενη ποσότητα, με βάση τα στοιχεία της Ε.Α.Ε. του τρέχοντος έτους, αναπροσαρμοστεί σε χαμηλότερα επίπεδα που υπολείπονται των αθροιστικών καταβολών που έχουν ήδη πραγματοποιηθεί σύμφωνα με τις υποπερ. αα. και αβ. της περ. α. της παρ. 1 του άρθρου 4, τότε το υπερβάλλον ποσό συμψηφίζεται με τις αμέσως επόμενες καταβολές. Τυχόν υπολειπόμενο ποσό μετά την παρέλευση δύο (2) ετών από το έτος καταβολής, βεβαιώνεται και εισπράττεται ως αχρεωστήτως καταβληθέν».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οριζόμενα στην παρ. 3 του άρθρου 1 ισχύουν για επιστροφές Ε.Φ.Κ. του έτους 2025, συμπεριλαμβανομένων και αυτών που έχουν ήδη χορηγηθεί βάσει τιμολογίων αγοράς που εκδόθηκαν από την 1</w:t>
      </w:r>
      <w:r>
        <w:rPr>
          <w:sz w:val="30"/>
          <w:szCs w:val="30"/>
          <w:vertAlign w:val="superscript"/>
          <w:lang w:val="el" w:eastAsia="el"/>
        </w:rPr>
        <w:t>η</w:t>
      </w:r>
      <w:r>
        <w:rPr>
          <w:lang w:val="el" w:eastAsia="el"/>
        </w:rPr>
        <w:t xml:space="preserve"> Ιανουαρίου 2025 έως και την 30</w:t>
      </w:r>
      <w:r>
        <w:rPr>
          <w:sz w:val="30"/>
          <w:szCs w:val="30"/>
          <w:vertAlign w:val="superscript"/>
          <w:lang w:val="el" w:eastAsia="el"/>
        </w:rPr>
        <w:t>η</w:t>
      </w:r>
      <w:r>
        <w:rPr>
          <w:lang w:val="el" w:eastAsia="el"/>
        </w:rPr>
        <w:t xml:space="preserve"> Σεπτεμβρίου 2025, τα οποία δεν λήφθηκαν υπόψη για τις καταβληθείσες σε δικαιούχα πρόσωπα επιστροφές, λόγω των μέγιστων ετήσιων δικαιούμενων ποσοτήτων όπως προσδιορίσθηκαν βάσει των Παραρτημάτων Ι και ΙΙ, σύμφωνα με την παρ. 2 του άρθρου 3 της υπό στοιχεία Α.1173/20.11.2024 Κ.Υ.Α., ως ίσχυε πριν την τροποποίησή της με την παρ. 3 του άρθρου 1 της παρούσας. Τα οριζόμενα στο προηγούμενο εδάφιο λαμβάνονται υπόψη για την επιστροφή που καταβάλλεται έως την 30η Δεκεμβρίου 2025, κατά τα αναφερόμενα στις υποπερ. αδ. της περ. α. και ββ. της περ. β. της παρ. 1 του άρθρου 4 της ως άνω Κ.Υ.Α.</w:t>
      </w:r>
    </w:p>
    <w:p>
      <w:pPr>
        <w:pStyle w:val="MainText"/>
        <w:spacing w:before="120" w:after="0"/>
        <w:rPr>
          <w:lang w:val="el" w:eastAsia="el"/>
        </w:rPr>
      </w:pPr>
      <w:r>
        <w:rPr>
          <w:b/>
          <w:bCs/>
          <w:lang w:val="el" w:eastAsia="el"/>
        </w:rPr>
        <w:t>2.</w:t>
      </w:r>
      <w:r>
        <w:rPr>
          <w:lang w:val="el" w:eastAsia="el"/>
        </w:rPr>
        <w:t xml:space="preserve"> Το ΥΠ.Α.Α.Τ. διαβιβάζει στη Γ.Δ.ΗΛΕ.Δ. της Α.Α.Δ.Ε., επικαιροποιημένο αρχείο της παρ. 3 του άρθρου 5 της υπό στοιχεία Α.1173/20.11.2024 ΚΥΑ, μέχρι 05.12.2025 (σε ψηφιακό μέσο), με τους Α.Φ.Μ. των δικαιούχων προσώπων της παρ. 1 του άρθρου 2 της ίδιας Κ.Υ.Α. και ανά Α.Φ.Μ. τη μέγιστη ετήσια δικαιούμενη ποσότητα καυσίμου όπως αυτή αναπροσαρμόζεται σύμφωνα με τα οριζόμενα στην παρ. 3 του άρθρου 1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1 .Η παρούσα απόφαση ισχύει από την δημοσίευσή της στην Εφημερίδα της Κυβερνήσεως.</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στην Εφημερίδα της Κυβερνήσεως)</w:t>
      </w:r>
    </w:p>
    <w:p>
      <w:pPr>
        <w:pStyle w:val="MainText"/>
        <w:spacing w:before="120" w:after="0"/>
        <w:rPr>
          <w:lang w:val="el" w:eastAsia="el"/>
        </w:rPr>
      </w:pPr>
      <w:r>
        <w:rPr>
          <w:b/>
          <w:bCs/>
          <w:lang w:val="el" w:eastAsia="el"/>
        </w:rPr>
        <w:t>2.</w:t>
      </w:r>
      <w:r>
        <w:rPr>
          <w:lang w:val="el" w:eastAsia="el"/>
        </w:rPr>
        <w:t xml:space="preserve"> Γενική Δ/νση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lang w:val="el" w:eastAsia="el"/>
        </w:rPr>
        <w:t>Δ/νση Ανάπτυξης Τελωνειακών, Ελεγκτικών και Επιχειρησιακών Εφαρμογών (Δ.Α.Τ.Ε.),</w:t>
      </w:r>
    </w:p>
    <w:p>
      <w:pPr>
        <w:spacing w:before="240" w:after="240"/>
        <w:rPr>
          <w:lang w:val="el" w:eastAsia="el"/>
        </w:rPr>
      </w:pPr>
      <w:r>
        <w:rPr>
          <w:lang w:val="el" w:eastAsia="el"/>
        </w:rPr>
        <w:t>Υποδιεύθυνση Ανάπτυξης Τελωνειακών Εφαρμογών - Τμήμα Β΄</w:t>
      </w:r>
    </w:p>
    <w:p>
      <w:pPr>
        <w:pStyle w:val="StructureList1"/>
        <w:spacing w:before="120" w:after="0"/>
        <w:rPr>
          <w:lang w:val="el" w:eastAsia="el"/>
        </w:rPr>
      </w:pPr>
      <w:r>
        <w:rPr>
          <w:lang w:val="el" w:eastAsia="el"/>
        </w:rPr>
        <w:t>β)</w:t>
      </w:r>
      <w:r>
        <w:rPr>
          <w:lang w:val="en" w:eastAsia="en"/>
        </w:rPr>
        <w:tab/>
      </w:r>
      <w:r>
        <w:rPr>
          <w:lang w:val="el" w:eastAsia="el"/>
        </w:rPr>
        <w:t>Δ/νση Ανάπτυξης Φορολογικών Εφαρμογών - Τμήμα Ε΄</w:t>
      </w:r>
    </w:p>
    <w:p>
      <w:pPr>
        <w:pStyle w:val="StructureList1"/>
        <w:spacing w:before="120" w:after="0"/>
        <w:rPr>
          <w:lang w:val="el" w:eastAsia="el"/>
        </w:rPr>
      </w:pPr>
      <w:r>
        <w:rPr>
          <w:lang w:val="el" w:eastAsia="el"/>
        </w:rPr>
        <w:t>γ)</w:t>
      </w:r>
      <w:r>
        <w:rPr>
          <w:lang w:val="en" w:eastAsia="en"/>
        </w:rPr>
        <w:tab/>
      </w:r>
      <w:r>
        <w:rPr>
          <w:lang w:val="el" w:eastAsia="el"/>
        </w:rPr>
        <w:t>Διεύθυνση Διαχείρισης Υποδομών – Τμήμα Ε΄</w:t>
      </w:r>
    </w:p>
    <w:p>
      <w:pPr>
        <w:pStyle w:val="StructureList1"/>
        <w:spacing w:before="120" w:after="0"/>
        <w:rPr>
          <w:lang w:val="el" w:eastAsia="el"/>
        </w:rPr>
      </w:pPr>
      <w:r>
        <w:rPr>
          <w:lang w:val="el" w:eastAsia="el"/>
        </w:rPr>
        <w:t>δ)</w:t>
      </w:r>
      <w:r>
        <w:rPr>
          <w:lang w:val="en" w:eastAsia="en"/>
        </w:rPr>
        <w:tab/>
      </w:r>
      <w:r>
        <w:rPr>
          <w:lang w:val="el" w:eastAsia="el"/>
        </w:rPr>
        <w:t>Διεύθυνση Επιχειρησιακών Διαδικασιών – Υποδιεύθυνση Απαιτήσεων και Ελέγχου Εφαρμογών Φορολογίας – Τμήμα Β΄</w:t>
      </w:r>
    </w:p>
    <w:p>
      <w:pPr>
        <w:pStyle w:val="MainText"/>
        <w:spacing w:before="120" w:after="0"/>
        <w:rPr>
          <w:lang w:val="el" w:eastAsia="el"/>
        </w:rPr>
      </w:pPr>
      <w:r>
        <w:rPr>
          <w:b/>
          <w:bCs/>
          <w:lang w:val="el" w:eastAsia="el"/>
        </w:rPr>
        <w:t>3.</w:t>
      </w:r>
      <w:r>
        <w:rPr>
          <w:lang w:val="el" w:eastAsia="el"/>
        </w:rPr>
        <w:t xml:space="preserve"> Τράπεζα της Ελλάδος – Δ/νση Εργασιών Δημοσίου (email: </w:t>
      </w:r>
      <w:hyperlink r:id="rId4" w:history="1">
        <w:r>
          <w:rPr>
            <w:rStyle w:val="Hyperlink"/>
            <w:color w:val="0000EE"/>
            <w:u w:color="0000EE"/>
            <w:lang w:val="el" w:eastAsia="el"/>
          </w:rPr>
          <w:t>Egatzonas@bankofgreece.gr</w:t>
        </w:r>
      </w:hyperlink>
      <w:r>
        <w:rPr>
          <w:lang w:val="el" w:eastAsia="el"/>
        </w:rPr>
        <w:t>)</w:t>
      </w:r>
    </w:p>
    <w:p>
      <w:pPr>
        <w:pStyle w:val="MainText"/>
        <w:spacing w:before="120" w:after="0"/>
        <w:rPr>
          <w:lang w:val="el" w:eastAsia="el"/>
        </w:rPr>
      </w:pPr>
      <w:r>
        <w:rPr>
          <w:b/>
          <w:bCs/>
          <w:lang w:val="el" w:eastAsia="el"/>
        </w:rPr>
        <w:t>4.</w:t>
      </w:r>
      <w:r>
        <w:rPr>
          <w:lang w:val="el" w:eastAsia="el"/>
        </w:rPr>
        <w:t xml:space="preserve"> ΔΙΑΣ Α.Ε. – Γενική Δ/νση Συστήματος Πληρωμών – Δ/νση Λειτουργιών ( e-mail: </w:t>
      </w:r>
      <w:hyperlink r:id="rId5" w:history="1">
        <w:r>
          <w:rPr>
            <w:rStyle w:val="Hyperlink"/>
            <w:color w:val="0000EE"/>
            <w:u w:color="0000EE"/>
            <w:lang w:val="el" w:eastAsia="el"/>
          </w:rPr>
          <w:t>diasbo@dias.com.gr</w:t>
        </w:r>
      </w:hyperlink>
      <w:r>
        <w:rPr>
          <w:lang w:val="el" w:eastAsia="el"/>
        </w:rPr>
        <w:t>)</w:t>
      </w:r>
    </w:p>
    <w:p>
      <w:pPr>
        <w:pStyle w:val="MainText"/>
        <w:spacing w:before="120" w:after="0"/>
        <w:rPr>
          <w:lang w:val="el" w:eastAsia="el"/>
        </w:rPr>
      </w:pPr>
      <w:r>
        <w:rPr>
          <w:b/>
          <w:bCs/>
          <w:lang w:val="el" w:eastAsia="el"/>
        </w:rPr>
        <w:t>5.</w:t>
      </w:r>
      <w:r>
        <w:rPr>
          <w:lang w:val="el" w:eastAsia="el"/>
        </w:rPr>
        <w:t xml:space="preserve"> Δ/νση Στρατηγικής Τεχνολογιών Πληροφορικής (ΔΙ.Σ.ΤΕ.ΠΛ) της Γ.Δ.ΗΛΕ.Δ. (για ενημέρωση της Ηλεκτρονικής Βιβλιοθήκης και του portal της ΑΑΔΕ e-mail: </w:t>
      </w:r>
      <w:hyperlink r:id="rId6" w:history="1">
        <w:r>
          <w:rPr>
            <w:rStyle w:val="Hyperlink"/>
            <w:color w:val="0000EE"/>
            <w:u w:color="0000EE"/>
            <w:lang w:val="el" w:eastAsia="el"/>
          </w:rPr>
          <w:t>siteadmin@aade.gr</w:t>
        </w:r>
      </w:hyperlink>
      <w:r>
        <w:rPr>
          <w:lang w:val="el" w:eastAsia="el"/>
        </w:rPr>
        <w:t>)</w:t>
      </w:r>
    </w:p>
    <w:p>
      <w:pPr>
        <w:spacing w:before="240" w:after="240"/>
        <w:rPr>
          <w:lang w:val="el" w:eastAsia="el"/>
        </w:rPr>
      </w:pPr>
      <w:r>
        <w:rPr>
          <w:b/>
          <w:bCs/>
          <w:lang w:val="el" w:eastAsia="el"/>
        </w:rPr>
        <w:t>Β. Αποδέκτες για κοινοποίηση</w:t>
      </w:r>
    </w:p>
    <w:p>
      <w:pPr>
        <w:pStyle w:val="MainText"/>
        <w:spacing w:before="120" w:after="0"/>
        <w:rPr>
          <w:lang w:val="el" w:eastAsia="el"/>
        </w:rPr>
      </w:pPr>
      <w:r>
        <w:rPr>
          <w:b/>
          <w:bCs/>
          <w:lang w:val="el" w:eastAsia="el"/>
        </w:rPr>
        <w:t>1.</w:t>
      </w:r>
      <w:r>
        <w:rPr>
          <w:lang w:val="el" w:eastAsia="el"/>
        </w:rPr>
        <w:t xml:space="preserve"> Γραφείο Υπουργού Εθνικής Οικονομίας &amp; Οικονομικών</w:t>
      </w:r>
    </w:p>
    <w:p>
      <w:pPr>
        <w:pStyle w:val="MainText"/>
        <w:spacing w:before="120" w:after="0"/>
        <w:rPr>
          <w:lang w:val="el" w:eastAsia="el"/>
        </w:rPr>
      </w:pPr>
      <w:r>
        <w:rPr>
          <w:b/>
          <w:bCs/>
          <w:lang w:val="el" w:eastAsia="el"/>
        </w:rPr>
        <w:t>2.</w:t>
      </w:r>
      <w:r>
        <w:rPr>
          <w:lang w:val="el" w:eastAsia="el"/>
        </w:rPr>
        <w:t xml:space="preserve"> Γραφείο Υφυπουργού Εθνικής Οικονομίας &amp; Οικονομικών κ. Κώτσηρα</w:t>
      </w:r>
    </w:p>
    <w:p>
      <w:pPr>
        <w:pStyle w:val="MainText"/>
        <w:spacing w:before="120" w:after="0"/>
        <w:rPr>
          <w:lang w:val="el" w:eastAsia="el"/>
        </w:rPr>
      </w:pPr>
      <w:r>
        <w:rPr>
          <w:b/>
          <w:bCs/>
          <w:lang w:val="el" w:eastAsia="el"/>
        </w:rPr>
        <w:t>3.</w:t>
      </w:r>
      <w:r>
        <w:rPr>
          <w:lang w:val="el" w:eastAsia="el"/>
        </w:rPr>
        <w:t xml:space="preserve"> Γραφείο Υφυπουργού Εθνικής Οικονομίας &amp; Οικονομικών κ. Πετραλιά</w:t>
      </w:r>
    </w:p>
    <w:p>
      <w:pPr>
        <w:pStyle w:val="MainText"/>
        <w:spacing w:before="120" w:after="0"/>
        <w:rPr>
          <w:lang w:val="el" w:eastAsia="el"/>
        </w:rPr>
      </w:pPr>
      <w:r>
        <w:rPr>
          <w:b/>
          <w:bCs/>
          <w:lang w:val="el" w:eastAsia="el"/>
        </w:rPr>
        <w:t>4.</w:t>
      </w:r>
      <w:r>
        <w:rPr>
          <w:lang w:val="el" w:eastAsia="el"/>
        </w:rPr>
        <w:t xml:space="preserve"> Γραφείο Υπουργού Αγροτικής Ανάπτυξης και Τροφίμων κ. Τσιάρα</w:t>
      </w:r>
    </w:p>
    <w:p>
      <w:pPr>
        <w:pStyle w:val="MainText"/>
        <w:spacing w:before="120" w:after="0"/>
        <w:rPr>
          <w:lang w:val="el" w:eastAsia="el"/>
        </w:rPr>
      </w:pPr>
      <w:r>
        <w:rPr>
          <w:b/>
          <w:bCs/>
          <w:lang w:val="el" w:eastAsia="el"/>
        </w:rPr>
        <w:t>5.</w:t>
      </w:r>
      <w:r>
        <w:rPr>
          <w:lang w:val="el" w:eastAsia="el"/>
        </w:rPr>
        <w:t xml:space="preserve"> Αποδέκτες Πίνακα Δ΄</w:t>
      </w:r>
    </w:p>
    <w:p>
      <w:pPr>
        <w:pStyle w:val="MainText"/>
        <w:spacing w:before="120" w:after="0"/>
        <w:rPr>
          <w:lang w:val="el" w:eastAsia="el"/>
        </w:rPr>
      </w:pPr>
      <w:r>
        <w:rPr>
          <w:b/>
          <w:bCs/>
          <w:lang w:val="el" w:eastAsia="el"/>
        </w:rPr>
        <w:t>6.</w:t>
      </w:r>
      <w:r>
        <w:rPr>
          <w:lang w:val="el" w:eastAsia="el"/>
        </w:rPr>
        <w:t xml:space="preserve"> Συντονιστικό Επιχειρησιακό Κέντρο (Σ.Ε.Κ.)</w:t>
      </w:r>
    </w:p>
    <w:p>
      <w:pPr>
        <w:pStyle w:val="MainText"/>
        <w:spacing w:before="120" w:after="0"/>
        <w:rPr>
          <w:lang w:val="el" w:eastAsia="el"/>
        </w:rPr>
      </w:pPr>
      <w:r>
        <w:rPr>
          <w:b/>
          <w:bCs/>
          <w:lang w:val="el" w:eastAsia="el"/>
        </w:rPr>
        <w:t>7.</w:t>
      </w:r>
      <w:r>
        <w:rPr>
          <w:lang w:val="el" w:eastAsia="el"/>
        </w:rPr>
        <w:t xml:space="preserve"> Υπηρεσίες Ερευνών και Διασφάλισης Δημοσίων Εσόδων (Υ.Ε.Δ.Δ.Ε.)</w:t>
      </w:r>
    </w:p>
    <w:p>
      <w:pPr>
        <w:pStyle w:val="MainText"/>
        <w:spacing w:before="120" w:after="0"/>
        <w:rPr>
          <w:lang w:val="el" w:eastAsia="el"/>
        </w:rPr>
      </w:pPr>
      <w:r>
        <w:rPr>
          <w:b/>
          <w:bCs/>
          <w:lang w:val="el" w:eastAsia="el"/>
        </w:rPr>
        <w:t>8.</w:t>
      </w:r>
      <w:r>
        <w:rPr>
          <w:lang w:val="el" w:eastAsia="el"/>
        </w:rPr>
        <w:t xml:space="preserve"> Δ/νση Εσωτερικού Ελέγχου</w:t>
      </w:r>
    </w:p>
    <w:p>
      <w:pPr>
        <w:pStyle w:val="MainText"/>
        <w:spacing w:before="120" w:after="0"/>
        <w:rPr>
          <w:lang w:val="el" w:eastAsia="el"/>
        </w:rPr>
      </w:pPr>
      <w:r>
        <w:rPr>
          <w:b/>
          <w:bCs/>
          <w:lang w:val="el" w:eastAsia="el"/>
        </w:rPr>
        <w:t>9.</w:t>
      </w:r>
      <w:r>
        <w:rPr>
          <w:lang w:val="el" w:eastAsia="el"/>
        </w:rPr>
        <w:t xml:space="preserve"> Διεύθυνση Νομικής Υποστήριξης ΑΑΔΕ</w:t>
      </w:r>
    </w:p>
    <w:p>
      <w:pPr>
        <w:pStyle w:val="MainText"/>
        <w:spacing w:before="120" w:after="0"/>
        <w:rPr>
          <w:lang w:val="el" w:eastAsia="el"/>
        </w:rPr>
      </w:pPr>
      <w:r>
        <w:rPr>
          <w:b/>
          <w:bCs/>
          <w:lang w:val="el" w:eastAsia="el"/>
        </w:rPr>
        <w:t>10.</w:t>
      </w:r>
      <w:r>
        <w:rPr>
          <w:lang w:val="el" w:eastAsia="el"/>
        </w:rPr>
        <w:t xml:space="preserve"> Δ/νση Επικοινωνίας ΑΑΔΕ</w:t>
      </w:r>
    </w:p>
    <w:p>
      <w:pPr>
        <w:pStyle w:val="MainText"/>
        <w:spacing w:before="120" w:after="0"/>
        <w:rPr>
          <w:lang w:val="el" w:eastAsia="el"/>
        </w:rPr>
      </w:pPr>
      <w:r>
        <w:rPr>
          <w:b/>
          <w:bCs/>
          <w:lang w:val="el" w:eastAsia="el"/>
        </w:rPr>
        <w:t>11.</w:t>
      </w:r>
      <w:r>
        <w:rPr>
          <w:lang w:val="el" w:eastAsia="el"/>
        </w:rPr>
        <w:t xml:space="preserve"> Ελληνική Στατιστική Αρχή - Πειραιώς 46 ΤΚ 18510 – Πειραιάς</w:t>
      </w:r>
    </w:p>
    <w:p>
      <w:pPr>
        <w:pStyle w:val="MainText"/>
        <w:spacing w:before="120" w:after="0"/>
        <w:rPr>
          <w:lang w:val="el" w:eastAsia="el"/>
        </w:rPr>
      </w:pPr>
      <w:r>
        <w:rPr>
          <w:b/>
          <w:bCs/>
          <w:lang w:val="el" w:eastAsia="el"/>
        </w:rPr>
        <w:t>12.</w:t>
      </w:r>
      <w:r>
        <w:rPr>
          <w:lang w:val="el" w:eastAsia="el"/>
        </w:rPr>
        <w:t xml:space="preserve"> Γενική Δ/νση Φορολογίας</w:t>
      </w:r>
    </w:p>
    <w:p>
      <w:pPr>
        <w:pStyle w:val="StructureList1"/>
        <w:spacing w:before="120" w:after="0"/>
        <w:rPr>
          <w:lang w:val="el" w:eastAsia="el"/>
        </w:rPr>
      </w:pPr>
      <w:r>
        <w:rPr>
          <w:lang w:val="el" w:eastAsia="el"/>
        </w:rPr>
        <w:t>α)</w:t>
      </w:r>
      <w:r>
        <w:rPr>
          <w:lang w:val="en" w:eastAsia="en"/>
        </w:rPr>
        <w:tab/>
      </w:r>
      <w:r>
        <w:rPr>
          <w:lang w:val="el" w:eastAsia="el"/>
        </w:rPr>
        <w:t>Διεύθυνση Διαδικασιών Εισπράξεων και Επιστροφών</w:t>
      </w:r>
    </w:p>
    <w:p>
      <w:pPr>
        <w:pStyle w:val="StructureList1"/>
        <w:spacing w:before="120" w:after="0"/>
        <w:rPr>
          <w:lang w:val="el" w:eastAsia="el"/>
        </w:rPr>
      </w:pPr>
      <w:r>
        <w:rPr>
          <w:lang w:val="el" w:eastAsia="el"/>
        </w:rPr>
        <w:t>β)</w:t>
      </w:r>
      <w:r>
        <w:rPr>
          <w:lang w:val="en" w:eastAsia="en"/>
        </w:rPr>
        <w:tab/>
      </w:r>
      <w:r>
        <w:rPr>
          <w:lang w:val="el" w:eastAsia="el"/>
        </w:rPr>
        <w:t>Διεύθυνση Ελεγκτικών Διαδικασιών</w:t>
      </w:r>
    </w:p>
    <w:p>
      <w:pPr>
        <w:pStyle w:val="MainText"/>
        <w:spacing w:before="120" w:after="0"/>
        <w:rPr>
          <w:lang w:val="el" w:eastAsia="el"/>
        </w:rPr>
      </w:pPr>
      <w:r>
        <w:rPr>
          <w:b/>
          <w:bCs/>
          <w:lang w:val="el" w:eastAsia="el"/>
        </w:rPr>
        <w:t>13.</w:t>
      </w:r>
      <w:r>
        <w:rPr>
          <w:lang w:val="el" w:eastAsia="el"/>
        </w:rPr>
        <w:t xml:space="preserve"> Γενική Δ/νση Ανθρώπινου Δυναμικού &amp; Οργάνωσης (Γ.Δ.Α.Δ.Ο.)</w:t>
      </w:r>
    </w:p>
    <w:p>
      <w:pPr>
        <w:pStyle w:val="StructureList1"/>
        <w:spacing w:before="120" w:after="0"/>
        <w:rPr>
          <w:lang w:val="el" w:eastAsia="el"/>
        </w:rPr>
      </w:pPr>
      <w:r>
        <w:rPr>
          <w:lang w:val="el" w:eastAsia="el"/>
        </w:rPr>
        <w:t>α)</w:t>
      </w:r>
      <w:r>
        <w:rPr>
          <w:lang w:val="en" w:eastAsia="en"/>
        </w:rPr>
        <w:tab/>
      </w:r>
      <w:r>
        <w:rPr>
          <w:lang w:val="el" w:eastAsia="el"/>
        </w:rPr>
        <w:t>Δ/νση Διαχείρισης Ανθρώπινου Δυναμικού (Δ.Δ.Α.Δ.)</w:t>
      </w:r>
    </w:p>
    <w:p>
      <w:pPr>
        <w:pStyle w:val="StructureList1"/>
        <w:spacing w:before="120" w:after="0"/>
        <w:rPr>
          <w:lang w:val="el" w:eastAsia="el"/>
        </w:rPr>
      </w:pPr>
      <w:r>
        <w:rPr>
          <w:lang w:val="el" w:eastAsia="el"/>
        </w:rPr>
        <w:t>β)</w:t>
      </w:r>
      <w:r>
        <w:rPr>
          <w:lang w:val="en" w:eastAsia="en"/>
        </w:rPr>
        <w:tab/>
      </w:r>
      <w:r>
        <w:rPr>
          <w:lang w:val="el" w:eastAsia="el"/>
        </w:rPr>
        <w:t>Δ/νση Οργάνωσης</w:t>
      </w:r>
    </w:p>
    <w:p>
      <w:pPr>
        <w:pStyle w:val="MainText"/>
        <w:spacing w:before="120" w:after="0"/>
        <w:rPr>
          <w:lang w:val="el" w:eastAsia="el"/>
        </w:rPr>
      </w:pPr>
      <w:r>
        <w:rPr>
          <w:b/>
          <w:bCs/>
          <w:lang w:val="el" w:eastAsia="el"/>
        </w:rPr>
        <w:t>14.</w:t>
      </w:r>
      <w:r>
        <w:rPr>
          <w:lang w:val="el" w:eastAsia="el"/>
        </w:rPr>
        <w:t xml:space="preserve"> Διεύθυνση Φορολογικής και Τελωνειακής Ακαδημίας</w:t>
      </w:r>
    </w:p>
    <w:p>
      <w:pPr>
        <w:pStyle w:val="MainText"/>
        <w:spacing w:before="120" w:after="0"/>
        <w:rPr>
          <w:lang w:val="el" w:eastAsia="el"/>
        </w:rPr>
      </w:pPr>
      <w:r>
        <w:rPr>
          <w:b/>
          <w:bCs/>
          <w:lang w:val="el" w:eastAsia="el"/>
        </w:rPr>
        <w:t>15.</w:t>
      </w:r>
      <w:r>
        <w:rPr>
          <w:lang w:val="el" w:eastAsia="el"/>
        </w:rPr>
        <w:t xml:space="preserve"> Υπουργείο Αγροτικής Ανάπτυξης &amp; Τροφίμων</w:t>
      </w:r>
    </w:p>
    <w:p>
      <w:pPr>
        <w:spacing w:before="240" w:after="240"/>
        <w:rPr>
          <w:lang w:val="el" w:eastAsia="el"/>
        </w:rPr>
      </w:pPr>
      <w:r>
        <w:rPr>
          <w:lang w:val="el" w:eastAsia="el"/>
        </w:rPr>
        <w:t>Γενική Γραμματεία Αγροτικής Ανάπτυξης και Τροφίμων</w:t>
      </w:r>
    </w:p>
    <w:p>
      <w:pPr>
        <w:pStyle w:val="StructureList1"/>
        <w:spacing w:before="120" w:after="0"/>
        <w:rPr>
          <w:lang w:val="el" w:eastAsia="el"/>
        </w:rPr>
      </w:pPr>
      <w:r>
        <w:rPr>
          <w:lang w:val="el" w:eastAsia="el"/>
        </w:rPr>
        <w:t>α)</w:t>
      </w:r>
      <w:r>
        <w:rPr>
          <w:lang w:val="en" w:eastAsia="en"/>
        </w:rPr>
        <w:tab/>
      </w:r>
      <w:r>
        <w:rPr>
          <w:lang w:val="el" w:eastAsia="el"/>
        </w:rPr>
        <w:t>Γενική Διεύθυνση Διοικητικών Υπηρεσιών και Ηλεκτρονικής Διακυβέρνησης</w:t>
      </w:r>
    </w:p>
    <w:p>
      <w:pPr>
        <w:spacing w:before="240" w:after="240"/>
        <w:rPr>
          <w:lang w:val="el" w:eastAsia="el"/>
        </w:rPr>
      </w:pPr>
      <w:r>
        <w:rPr>
          <w:lang w:val="el" w:eastAsia="el"/>
        </w:rPr>
        <w:t>Διεύθυνση Ηλεκτρονικής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Γενική Διεύθυνση Αποκεντρωμένων Δομών</w:t>
      </w:r>
    </w:p>
    <w:p>
      <w:pPr>
        <w:pStyle w:val="MainText"/>
        <w:spacing w:before="120" w:after="0"/>
        <w:rPr>
          <w:lang w:val="el" w:eastAsia="el"/>
        </w:rPr>
      </w:pPr>
      <w:r>
        <w:rPr>
          <w:b/>
          <w:bCs/>
          <w:lang w:val="el" w:eastAsia="el"/>
        </w:rPr>
        <w:t>16.</w:t>
      </w:r>
      <w:r>
        <w:rPr>
          <w:lang w:val="el" w:eastAsia="el"/>
        </w:rPr>
        <w:t xml:space="preserve"> Υπουργείο Εθνικής Οικονομίας και Οικονομικών</w:t>
      </w:r>
    </w:p>
    <w:p>
      <w:pPr>
        <w:spacing w:before="240" w:after="240"/>
        <w:rPr>
          <w:lang w:val="el" w:eastAsia="el"/>
        </w:rPr>
      </w:pPr>
      <w:r>
        <w:rPr>
          <w:lang w:val="el" w:eastAsia="el"/>
        </w:rPr>
        <w:t>Γενική Γραμματεία Δημοσιονομικής Πολιτικής</w:t>
      </w:r>
    </w:p>
    <w:p>
      <w:pPr>
        <w:spacing w:before="240" w:after="240"/>
        <w:rPr>
          <w:lang w:val="el" w:eastAsia="el"/>
        </w:rPr>
      </w:pPr>
      <w:r>
        <w:rPr>
          <w:lang w:val="el" w:eastAsia="el"/>
        </w:rPr>
        <w:t>Γενική Δ/νση Θησαυροφυλακίου &amp; Δημοσιονομικών Κανόνων</w:t>
      </w:r>
    </w:p>
    <w:p>
      <w:pPr>
        <w:spacing w:before="240" w:after="240"/>
        <w:rPr>
          <w:lang w:val="el" w:eastAsia="el"/>
        </w:rPr>
      </w:pPr>
      <w:r>
        <w:rPr>
          <w:lang w:val="el" w:eastAsia="el"/>
        </w:rPr>
        <w:t>Δ/νση Λογαριασμών &amp; Ταμειακού Προγραμματισμού</w:t>
      </w:r>
    </w:p>
    <w:p>
      <w:pPr>
        <w:pStyle w:val="MainText"/>
        <w:spacing w:before="120" w:after="0"/>
        <w:rPr>
          <w:lang w:val="el" w:eastAsia="el"/>
        </w:rPr>
      </w:pPr>
      <w:r>
        <w:rPr>
          <w:b/>
          <w:bCs/>
          <w:lang w:val="el" w:eastAsia="el"/>
        </w:rPr>
        <w:t>17.</w:t>
      </w:r>
      <w:r>
        <w:rPr>
          <w:lang w:val="el" w:eastAsia="el"/>
        </w:rPr>
        <w:t xml:space="preserve"> ΟΠΕΚΕΠΕ</w:t>
      </w:r>
    </w:p>
    <w:p>
      <w:pPr>
        <w:pStyle w:val="StructureList1"/>
        <w:spacing w:before="120" w:after="0"/>
        <w:rPr>
          <w:lang w:val="el" w:eastAsia="el"/>
        </w:rPr>
      </w:pPr>
      <w:r>
        <w:rPr>
          <w:lang w:val="el" w:eastAsia="el"/>
        </w:rPr>
        <w:t>α)</w:t>
      </w:r>
      <w:r>
        <w:rPr>
          <w:lang w:val="en" w:eastAsia="en"/>
        </w:rPr>
        <w:tab/>
      </w:r>
      <w:r>
        <w:rPr>
          <w:lang w:val="el" w:eastAsia="el"/>
        </w:rPr>
        <w:t>Γραφείο Προέδρου</w:t>
      </w:r>
    </w:p>
    <w:p>
      <w:pPr>
        <w:pStyle w:val="StructureList1"/>
        <w:spacing w:before="120" w:after="0"/>
        <w:rPr>
          <w:lang w:val="el" w:eastAsia="el"/>
        </w:rPr>
      </w:pPr>
      <w:r>
        <w:rPr>
          <w:lang w:val="el" w:eastAsia="el"/>
        </w:rPr>
        <w:t>β)</w:t>
      </w:r>
      <w:r>
        <w:rPr>
          <w:lang w:val="en" w:eastAsia="en"/>
        </w:rPr>
        <w:tab/>
      </w:r>
      <w:r>
        <w:rPr>
          <w:lang w:val="el" w:eastAsia="el"/>
        </w:rPr>
        <w:t>Γραφείο Γενικού Διευθυντή</w:t>
      </w:r>
    </w:p>
    <w:p>
      <w:pPr>
        <w:pStyle w:val="StructureList1"/>
        <w:spacing w:before="120" w:after="0"/>
        <w:rPr>
          <w:lang w:val="el" w:eastAsia="el"/>
        </w:rPr>
      </w:pPr>
      <w:r>
        <w:rPr>
          <w:lang w:val="el" w:eastAsia="el"/>
        </w:rPr>
        <w:t>γ)</w:t>
      </w:r>
      <w:r>
        <w:rPr>
          <w:lang w:val="en" w:eastAsia="en"/>
        </w:rPr>
        <w:tab/>
      </w:r>
      <w:r>
        <w:rPr>
          <w:lang w:val="el" w:eastAsia="el"/>
        </w:rPr>
        <w:t>Δ/νση Άμεσων Ενισχύσεων και Αγοράς</w:t>
      </w:r>
    </w:p>
    <w:p>
      <w:pPr>
        <w:spacing w:before="240" w:after="240"/>
        <w:rPr>
          <w:lang w:val="el" w:eastAsia="el"/>
        </w:rPr>
      </w:pPr>
      <w:r>
        <w:rPr>
          <w:lang w:val="el" w:eastAsia="el"/>
        </w:rPr>
        <w:t>Δομοκού 5 104 45</w:t>
      </w:r>
    </w:p>
    <w:p>
      <w:pPr>
        <w:spacing w:before="240" w:after="240"/>
        <w:rPr>
          <w:lang w:val="el" w:eastAsia="el"/>
        </w:rPr>
      </w:pPr>
      <w:r>
        <w:rPr>
          <w:b/>
          <w:bCs/>
          <w:lang w:val="el" w:eastAsia="el"/>
        </w:rPr>
        <w:t>Γ. Εσωτερική διανομή</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Γεν.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Αυτοτελές Τμήμα Υποστήριξης Γενικής Διεύθυνσης Τελωνείων &amp; Ε.Φ.Κ.</w:t>
      </w:r>
    </w:p>
    <w:p>
      <w:pPr>
        <w:pStyle w:val="StructureList1"/>
        <w:spacing w:before="120" w:after="0"/>
        <w:rPr>
          <w:lang w:val="el" w:eastAsia="el"/>
        </w:rPr>
      </w:pPr>
      <w:r>
        <w:rPr>
          <w:lang w:val="el" w:eastAsia="el"/>
        </w:rPr>
        <w:t>β)</w:t>
      </w:r>
      <w:r>
        <w:rPr>
          <w:lang w:val="en" w:eastAsia="en"/>
        </w:rPr>
        <w:tab/>
      </w:r>
      <w:r>
        <w:rPr>
          <w:lang w:val="el" w:eastAsia="el"/>
        </w:rPr>
        <w:t>Δ/νση Ειδικών Φόρων Κατανάλωσης &amp; Φ.Π.Α.</w:t>
      </w:r>
    </w:p>
    <w:p>
      <w:pPr>
        <w:pStyle w:val="StructureList1"/>
        <w:spacing w:before="120" w:after="0"/>
        <w:rPr>
          <w:lang w:val="el" w:eastAsia="el"/>
        </w:rPr>
      </w:pPr>
      <w:r>
        <w:rPr>
          <w:lang w:val="el" w:eastAsia="el"/>
        </w:rPr>
        <w:t>γ)</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δ)</w:t>
      </w:r>
      <w:r>
        <w:rPr>
          <w:lang w:val="en" w:eastAsia="en"/>
        </w:rPr>
        <w:tab/>
      </w:r>
      <w:r>
        <w:rPr>
          <w:lang w:val="el" w:eastAsia="el"/>
        </w:rPr>
        <w:t>Διεύθυνση Δασμολογικών Θεμάτων, Ειδικών Καθεστώτων και Απαλλαγών ε) Διεύθυνση Στρατηγικής Τελωνειακών Ελέγχων και Παραβάσεων (Δ.Σ.Τ.Ε.Π)</w:t>
      </w:r>
    </w:p>
    <w:p>
      <w:pPr>
        <w:spacing w:before="240" w:after="240"/>
        <w:rPr>
          <w:lang w:val="el" w:eastAsia="el"/>
        </w:rPr>
      </w:pPr>
      <w:r>
        <w:rPr>
          <w:lang w:val="el" w:eastAsia="el"/>
        </w:rPr>
        <w:t>Ακριβές Αντίγραφο Κεντρικό Πρωτόκολλο 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gatzonas@bankofgreece.gr" TargetMode="External" /><Relationship Id="rId5" Type="http://schemas.openxmlformats.org/officeDocument/2006/relationships/hyperlink" Target="mailto:diasbo@dias.com.gr" TargetMode="External" /><Relationship Id="rId6" Type="http://schemas.openxmlformats.org/officeDocument/2006/relationships/hyperlink" Target="mailto:siteadmin@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