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344325</w:t>
      </w:r>
    </w:p>
    <w:p>
      <w:pPr>
        <w:pStyle w:val="PreambelText"/>
        <w:spacing w:before="240" w:after="240"/>
        <w:rPr>
          <w:lang w:val="el" w:eastAsia="el"/>
        </w:rPr>
      </w:pPr>
      <w:r>
        <w:rPr>
          <w:b/>
          <w:bCs/>
          <w:lang w:val="el" w:eastAsia="el"/>
        </w:rPr>
        <w:t>Τροποποίηση της υπ’ αρ. 208989/1.8.2025 κοινής απόφασης των Υπουργών Εθνικής Οικονομίας και Οικονομικών και Αγροτικής Ανάπτυξης και Τροφίμων «Χορήγηση κρατικής ενίσχυσης ήσσονος σημασίας (de minimis) στον τομέα της Αιγοπροβατοτροφίας σε παραγωγούς που διατηρούν εκμεταλλεύσεις αιγοπροβάτων, στο πλαίσιο εφαρμογής του Κανονισμού (ΕΕ) αριθ. 2013/1408 (L352/9 18.12.2013)» (Β’ 4202).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 του άρθρου 1 του ν.δ. 131/1974, «Περί παροχής οικονομικών ενισχύσεων στη γεωργική, κτηνοτροφική, δασική και αλιευτική παραγωγή» (Α’ 320).</w:t>
      </w:r>
    </w:p>
    <w:p>
      <w:pPr>
        <w:pStyle w:val="PreambelText"/>
        <w:spacing w:before="240" w:after="240"/>
        <w:rPr>
          <w:lang w:val="el" w:eastAsia="el"/>
        </w:rPr>
      </w:pPr>
      <w:r>
        <w:rPr>
          <w:lang w:val="el" w:eastAsia="el"/>
        </w:rPr>
        <w:t>2) Την παρ. 10 του άρθρου 39 του ν. 2065/1992 «Αναμόρφωση της άμεσης φορολογίας και άλλες διατάξεις» (Α’ 113).</w:t>
      </w:r>
    </w:p>
    <w:p>
      <w:pPr>
        <w:pStyle w:val="PreambelText"/>
        <w:spacing w:before="240" w:after="240"/>
        <w:rPr>
          <w:lang w:val="el" w:eastAsia="el"/>
        </w:rPr>
      </w:pPr>
      <w:r>
        <w:rPr>
          <w:lang w:val="el" w:eastAsia="el"/>
        </w:rPr>
        <w:t>3) Την παρ. 5 του άρθρου 21 και τις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PreambelText"/>
        <w:spacing w:before="240" w:after="240"/>
        <w:rPr>
          <w:lang w:val="el" w:eastAsia="el"/>
        </w:rPr>
      </w:pPr>
      <w:r>
        <w:rPr>
          <w:lang w:val="el" w:eastAsia="el"/>
        </w:rPr>
        <w:t>4) Τα άρθρα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Το άρθρο 11 του Κώδικα Διοικητικής Διαδικασίας (ν. 2690/1999, Α’ 45).</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όπως αυτό διατηρήθηκε σε ισχύ με την περ. 22 του άρθρου 119 του ν. 4622/2019 (Α’ 133).</w:t>
      </w:r>
    </w:p>
    <w:p>
      <w:pPr>
        <w:pStyle w:val="PreambelText"/>
        <w:spacing w:before="240" w:after="240"/>
        <w:rPr>
          <w:lang w:val="el" w:eastAsia="el"/>
        </w:rPr>
      </w:pPr>
      <w:r>
        <w:rPr>
          <w:lang w:val="el" w:eastAsia="el"/>
        </w:rPr>
        <w:t>7)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8) Την υπό στοιχεία 102928 EΞ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9) Το άρθρο 16 του π.δ. 84/2019 «Σύσταση και κατάργηση Γενικών Γραμματέων και Ειδικών Γραμματέων/Ενιαίων Διοικητικών Τομέων Υπουργείων» (Α’ 123).</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Το π.δ. 97/2017 «Οργανισμός Υπουργείου Αγροτικής Ανάπτυξης και Τροφίμων» (Α’ 138), το π.δ. 142/ 2017 «Οργανισμός Υπουργείου Οικονομικών» (Α’ 181).</w:t>
      </w:r>
    </w:p>
    <w:p>
      <w:pPr>
        <w:pStyle w:val="PreambelText"/>
        <w:spacing w:before="240" w:after="240"/>
        <w:rPr>
          <w:lang w:val="el" w:eastAsia="el"/>
        </w:rPr>
      </w:pPr>
      <w:r>
        <w:rPr>
          <w:lang w:val="el" w:eastAsia="el"/>
        </w:rPr>
        <w:t>12)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pStyle w:val="PreambelText"/>
        <w:spacing w:before="240" w:after="240"/>
        <w:rPr>
          <w:lang w:val="el" w:eastAsia="el"/>
        </w:rPr>
      </w:pPr>
      <w:r>
        <w:rPr>
          <w:lang w:val="el" w:eastAsia="el"/>
        </w:rPr>
        <w:t>13) Το π.δ. 32/2024 «Διορισμός Υπουργών, Αναπληρωτών Υπουργών και Υφυπουργών» (Α’ 91).</w:t>
      </w:r>
    </w:p>
    <w:p>
      <w:pPr>
        <w:pStyle w:val="PreambelText"/>
        <w:spacing w:before="240" w:after="240"/>
        <w:rPr>
          <w:lang w:val="el" w:eastAsia="el"/>
        </w:rPr>
      </w:pPr>
      <w:r>
        <w:rPr>
          <w:lang w:val="el" w:eastAsia="el"/>
        </w:rPr>
        <w:t>14) Το Κεφ.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15) Το άρθρο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16) Την υπό στοιχεία 59886/ΕΥΚΕ913/11-06-2020 απόφαση «Λειτουργία του Πληροφοριακού Συστήματος Σώρευσης Ενισχύσεων Ήσσονος σημασίας-(ΠΣΣΕΗΣ) (Β’ 2417).</w:t>
      </w:r>
    </w:p>
    <w:p>
      <w:pPr>
        <w:pStyle w:val="PreambelText"/>
        <w:spacing w:before="240" w:after="240"/>
        <w:rPr>
          <w:lang w:val="el" w:eastAsia="el"/>
        </w:rPr>
      </w:pPr>
      <w:r>
        <w:rPr>
          <w:lang w:val="el" w:eastAsia="el"/>
        </w:rPr>
        <w:t xml:space="preserve">17) Τον Κανονισμό (ΕΕ) 1408/2013 της Επιτροπής της 18ης Δεκεμβρίου 2013 σχετικά με την εφαρμογή των άρθρων 107 και 108 </w:t>
      </w:r>
    </w:p>
    <w:p>
      <w:pPr>
        <w:pStyle w:val="PreambelText"/>
        <w:spacing w:before="240" w:after="240"/>
        <w:rPr>
          <w:lang w:val="el" w:eastAsia="el"/>
        </w:rPr>
      </w:pPr>
      <w:r>
        <w:rPr>
          <w:lang w:val="el" w:eastAsia="el"/>
        </w:rPr>
        <w:t>της Συνθήκης για τη λειτουργία της Ευρωπαϊκής Ένωσης στις ενισχύσεις ήσσονος σημασίας«de minimis» στον γεωργικό τομέα (L 352/9), όπως τροποποιήθηκε με τον Καν.(ΕΕ)2024/3118 και ισχύει.</w:t>
      </w:r>
    </w:p>
    <w:p>
      <w:pPr>
        <w:pStyle w:val="PreambelText"/>
        <w:spacing w:before="240" w:after="240"/>
        <w:rPr>
          <w:lang w:val="el" w:eastAsia="el"/>
        </w:rPr>
      </w:pPr>
      <w:r>
        <w:rPr>
          <w:lang w:val="el" w:eastAsia="el"/>
        </w:rPr>
        <w:t>18) Το γεγονός ότι με τη χορήγηση του πρόσθετου σε σχέση με την αρχική απόφαση ποσού ύψους έως 21.000.000 ευρώ που δύναται να χορηγηθεί ως ενίσχυση ήσσονος σημασίας «de minimis» σε παραγωγούς που διατηρούν εκμεταλλεύσεις με αιγοπρόβατα, δεν καλύπτεται το εθνικό ανώτατο όριο, το οποίο για την Ελλάδα ανέρχεται σε 264.880.000 ευρώ σύμφωνα με τις παρ. 2 και3 του άρθρου 3 του Καν.(ΕΕ) αριθ. 1408/2013.</w:t>
      </w:r>
    </w:p>
    <w:p>
      <w:pPr>
        <w:pStyle w:val="PreambelText"/>
        <w:spacing w:before="240" w:after="240"/>
        <w:rPr>
          <w:lang w:val="el" w:eastAsia="el"/>
        </w:rPr>
      </w:pPr>
      <w:r>
        <w:rPr>
          <w:lang w:val="el" w:eastAsia="el"/>
        </w:rPr>
        <w:t>19) To γεγονός ότι κατά την τελευταία τριετία και μέχρι σήμερα έχουν χορηγηθεί ενισχύσεις ήσσονος σημασίας συνολικού ύψους 142.492.973 ευρώ στον γεωργικό τομέα.</w:t>
      </w:r>
    </w:p>
    <w:p>
      <w:pPr>
        <w:pStyle w:val="PreambelText"/>
        <w:spacing w:before="240" w:after="240"/>
        <w:rPr>
          <w:lang w:val="el" w:eastAsia="el"/>
        </w:rPr>
      </w:pPr>
      <w:r>
        <w:rPr>
          <w:lang w:val="el" w:eastAsia="el"/>
        </w:rPr>
        <w:t>20) Το γεγονός ότι από την εφαρμογή των διατάξεων της παρούσης προκαλείται δαπάνη ποσού ύψους έως 21.000.000 ευρώ σε βάρος του ΕΛΕΓΕΠ, η οποία καλύπτεται με πιστώσεις που μεταφέρθηκαν με την υπ’ αρ. 2/95518/08.12.2025 απόφαση του Υφυπουργού Εθνικής Οικονομίας και Οικονομικών ενίσχυσης του ΑΛΕ 2390901002 του Ε.Φ. 1029-501-0000000 του τακτικού προϋπολογισμού του Υπ.Α.Α. και Τ.</w:t>
      </w:r>
    </w:p>
    <w:p>
      <w:pPr>
        <w:pStyle w:val="PreambelText"/>
        <w:spacing w:before="240" w:after="240"/>
        <w:rPr>
          <w:lang w:val="el" w:eastAsia="el"/>
        </w:rPr>
      </w:pPr>
      <w:r>
        <w:rPr>
          <w:lang w:val="el" w:eastAsia="el"/>
        </w:rPr>
        <w:t>21) Την υπ’ αρ. 342923/09.12.2025 απόφαση έγκρισης δέσμευσης πίστωσης της Διεύθυνσης Οικονομικής Διαχείρισης του Υπ.Α.Α. και Τ., η οποία καταχωρήθηκε με α/α 103363 στο Βιβλίο Εγκρίσεων και Εντολών Πληρωμής της Γενικής Διεύθυνσης Οικονομικών Υπηρεσιών του Υπ.Α.Α. και Τ., ΑΔΑ: 6ΞΗΠ4653ΠΓ-4ΨΘ.</w:t>
      </w:r>
    </w:p>
    <w:p>
      <w:pPr>
        <w:pStyle w:val="PreambelText"/>
        <w:spacing w:before="240" w:after="240"/>
        <w:rPr>
          <w:lang w:val="el" w:eastAsia="el"/>
        </w:rPr>
      </w:pPr>
      <w:r>
        <w:rPr>
          <w:lang w:val="el" w:eastAsia="el"/>
        </w:rPr>
        <w:t>22) Την ανάγκη στήριξης των παραγωγών γεωργικών προϊόντων και ειδικότερα των παραγωγών που διατηρούν εκμεταλλεύσεις αιγοπροβάτων, λόγω της αύξησης του κόστους διατροφής ως απόρροια της χρονικής επέκτασης της ασθένειας της ευλογιάς για το 2ο εξάμηνο του 2025, σε ορισμένες Π.Ε. και συνέχεια των περιοριστικών μέτρων μετακινήσεων που ελήφθησαν με αποφάσεις του Υπουργείου Αγροτικής Ανάπτυξης και Τροφίμων κατά τα έτη 2025</w:t>
      </w:r>
    </w:p>
    <w:p>
      <w:pPr>
        <w:pStyle w:val="PreambelText"/>
        <w:spacing w:before="240" w:after="240"/>
        <w:rPr>
          <w:lang w:val="el" w:eastAsia="el"/>
        </w:rPr>
      </w:pPr>
      <w:r>
        <w:rPr>
          <w:lang w:val="el" w:eastAsia="el"/>
        </w:rPr>
        <w:t>23) Την ΓΝ 045/2025. γνωμοδότηση της Κεντρικής Μονάδας Κρατικών Ενισχύσεων (ΚΕΜΚΕ) Του Υπουργείου Εθνικής Οικονομίας και Οικονομικών.</w:t>
      </w:r>
    </w:p>
    <w:p>
      <w:pPr>
        <w:pStyle w:val="PreambelText"/>
        <w:spacing w:before="240" w:after="240"/>
        <w:rPr>
          <w:lang w:val="el" w:eastAsia="el"/>
        </w:rPr>
      </w:pPr>
      <w:r>
        <w:rPr>
          <w:lang w:val="el" w:eastAsia="el"/>
        </w:rPr>
        <w:t>24) Την υπ’ αρ. 343496/09.12.2025 εισήγηση της Γενικής Διευθύντριας Οικονομικών Υπηρεσιών του Υπ.Α.Α. και Τ. του άρθρου 24, παρ. 5, περ. ε’ του ν. 4270/2014, επί του προτεινόμενου σχεδίου κοινής υπουργικής απόφασης.</w:t>
      </w:r>
    </w:p>
    <w:p>
      <w:pPr>
        <w:pStyle w:val="PreambelText"/>
        <w:spacing w:before="240" w:after="240"/>
        <w:rPr>
          <w:lang w:val="el" w:eastAsia="el"/>
        </w:rPr>
      </w:pPr>
      <w:r>
        <w:rPr>
          <w:lang w:val="el" w:eastAsia="el"/>
        </w:rPr>
        <w:t>25) Το γεγονός ότι από τις διατάξεις της παρούσας τροποποιείται διοικητική διαδικασία με επίσημο τίτλο «Χορήγηση κρατικής ενίσχυσης ήσσονος σημασίας (de minimis) στον τομέα της Αιγοπροβατοτροφίας» και ΜΑΚ 186848/1.8.2025 στο ΕΜΔΔ-ΜΙΤΟΣ, αποφασίζουμε:</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Τροποποίηση του της παρ. 2. του άρθρου 4</w:t>
      </w:r>
    </w:p>
    <w:p>
      <w:pPr>
        <w:spacing w:before="240" w:after="240"/>
        <w:rPr>
          <w:lang w:val="el" w:eastAsia="el"/>
        </w:rPr>
      </w:pPr>
      <w:r>
        <w:rPr>
          <w:lang w:val="el" w:eastAsia="el"/>
        </w:rPr>
        <w:t>της υπ’ αρ. 208989/1.8.2025 (Β’ 4202)</w:t>
      </w:r>
    </w:p>
    <w:p>
      <w:pPr>
        <w:spacing w:before="240" w:after="240"/>
        <w:rPr>
          <w:lang w:val="el" w:eastAsia="el"/>
        </w:rPr>
      </w:pPr>
      <w:r>
        <w:rPr>
          <w:lang w:val="el" w:eastAsia="el"/>
        </w:rPr>
        <w:t>κοινής υπουργικής απόφασης</w:t>
      </w:r>
    </w:p>
    <w:p>
      <w:pPr>
        <w:spacing w:before="240" w:after="240"/>
        <w:rPr>
          <w:lang w:val="el" w:eastAsia="el"/>
        </w:rPr>
      </w:pPr>
      <w:r>
        <w:rPr>
          <w:lang w:val="el" w:eastAsia="el"/>
        </w:rPr>
        <w:t>Η παρ. 2. του άρθρου 4 της υπ’ αρ. 208989/1.8.2025 (Β’ 4202) κοινής υπουργικής απόφασης, αντικαθίσταται ως ακολούθως:</w:t>
      </w:r>
    </w:p>
    <w:p>
      <w:pPr>
        <w:spacing w:before="240" w:after="240"/>
        <w:rPr>
          <w:lang w:val="el" w:eastAsia="el"/>
        </w:rPr>
      </w:pPr>
      <w:r>
        <w:rPr>
          <w:lang w:val="el" w:eastAsia="el"/>
        </w:rPr>
        <w:t>Το ύψος του ποσού ενίσχυσης ήσσονος σημασίας (de minimis) καθορίζεται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της παρ. 1 του άρθρου 2 σε:</w:t>
      </w:r>
    </w:p>
    <w:p>
      <w:pPr>
        <w:pStyle w:val="StructureList1"/>
        <w:spacing w:before="120" w:after="0"/>
        <w:rPr>
          <w:lang w:val="el" w:eastAsia="el"/>
        </w:rPr>
      </w:pPr>
      <w:r>
        <w:rPr>
          <w:lang w:val="el" w:eastAsia="el"/>
        </w:rPr>
        <w:t>α)</w:t>
      </w:r>
      <w:r>
        <w:rPr>
          <w:lang w:val="en" w:eastAsia="en"/>
        </w:rPr>
        <w:tab/>
      </w:r>
      <w:r>
        <w:rPr>
          <w:lang w:val="el" w:eastAsia="el"/>
        </w:rPr>
        <w:t>6 €/επιλέξιμο ενήλικο θηλυκό αιγοπρόβατο για τις σταβλικές εγκαταστάσεις αιγοπροβάτων που βρίσκονται στις περιφερειακές ενότητες της χώρας, οι οποίες παρατίθενται στο Παράρτημα ΙΙΙ.</w:t>
      </w:r>
    </w:p>
    <w:p>
      <w:pPr>
        <w:pStyle w:val="StructureList1"/>
        <w:spacing w:before="120" w:after="0"/>
        <w:rPr>
          <w:lang w:val="el" w:eastAsia="el"/>
        </w:rPr>
      </w:pPr>
      <w:r>
        <w:rPr>
          <w:lang w:val="el" w:eastAsia="el"/>
        </w:rPr>
        <w:t>β)</w:t>
      </w:r>
      <w:r>
        <w:rPr>
          <w:lang w:val="en" w:eastAsia="en"/>
        </w:rPr>
        <w:tab/>
      </w:r>
      <w:r>
        <w:rPr>
          <w:lang w:val="el" w:eastAsia="el"/>
        </w:rPr>
        <w:t>9 €/επιλέξιμο ενήλικο θηλυκό αιγοπρόβατο για τις σταβλικές εγκαταστάσεις αιγοπροβάτων που βρίσκονται στις περιφερειακές ενότητες της χώρας, οι οποίες παρατίθενται στο Παράρτημα ΙV.</w:t>
      </w:r>
    </w:p>
    <w:p>
      <w:pPr>
        <w:pStyle w:val="StructureList1"/>
        <w:spacing w:before="120" w:after="0"/>
        <w:rPr>
          <w:lang w:val="el" w:eastAsia="el"/>
        </w:rPr>
      </w:pPr>
      <w:r>
        <w:rPr>
          <w:lang w:val="el" w:eastAsia="el"/>
        </w:rPr>
        <w:t>γ)</w:t>
      </w:r>
      <w:r>
        <w:rPr>
          <w:lang w:val="en" w:eastAsia="en"/>
        </w:rPr>
        <w:tab/>
      </w:r>
      <w:r>
        <w:rPr>
          <w:lang w:val="el" w:eastAsia="el"/>
        </w:rPr>
        <w:t>21€/επιλέξιμο ενήλικο θηλυκό αιγοπρόβατο για τις σταβλικές εγκαταστάσεις αιγοπροβάτων που βρίσκονται σε περιφερειακές ενότητες της χώρας οι οποίες παρατίθενται στο Παράρτημα V.</w:t>
      </w:r>
    </w:p>
    <w:p>
      <w:pPr>
        <w:pStyle w:val="Heading6"/>
        <w:spacing w:before="240" w:after="240"/>
        <w:rPr>
          <w:lang w:val="el" w:eastAsia="el"/>
        </w:rPr>
      </w:pPr>
      <w:r>
        <w:rPr>
          <w:rStyle w:val="article-num"/>
          <w:lang w:val="el" w:eastAsia="el"/>
        </w:rPr>
        <w:t>ΑΡΘΡΟ 2</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Δεκεμβρίου 2025</w:t>
      </w:r>
    </w:p>
    <w:p>
      <w:pPr>
        <w:spacing w:before="240" w:after="240"/>
        <w:rPr>
          <w:lang w:val="el" w:eastAsia="el"/>
        </w:rPr>
      </w:pPr>
      <w:r>
        <w:rPr>
          <w:lang w:val="el" w:eastAsia="el"/>
        </w:rPr>
        <w:t>Oι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Αγροτικής Ανάπτυξης και Οικονομικών και Τροφίμων</w:t>
      </w:r>
    </w:p>
    <w:p>
      <w:pPr>
        <w:spacing w:before="240" w:after="240"/>
        <w:rPr>
          <w:lang w:val="el" w:eastAsia="el"/>
        </w:rPr>
      </w:pPr>
      <w:r>
        <w:rPr>
          <w:b/>
          <w:bCs/>
          <w:lang w:val="el" w:eastAsia="el"/>
        </w:rPr>
        <w:t>ΑΘΑΝΑΣΙΟΣ ΠΕΤΡΑΛΙΑΣ ΚΩΝΣΤΑΝΤΙΝΟΣ ΤΣΙΑΡΑΣ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