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10/12/2025</w:t>
      </w:r>
    </w:p>
    <w:p>
      <w:pPr>
        <w:pStyle w:val="PreambelText"/>
        <w:spacing w:before="240" w:after="240"/>
        <w:rPr>
          <w:lang w:val="el" w:eastAsia="el"/>
        </w:rPr>
      </w:pPr>
      <w:r>
        <w:rPr>
          <w:lang w:val="el" w:eastAsia="el"/>
        </w:rPr>
        <w:t>Α. Π.: Εισερχ. Α1171</w:t>
      </w:r>
    </w:p>
    <w:p>
      <w:pPr>
        <w:pStyle w:val="PreambelText"/>
        <w:spacing w:before="240" w:after="240"/>
        <w:rPr>
          <w:lang w:val="el" w:eastAsia="el"/>
        </w:rPr>
      </w:pPr>
      <w:r>
        <w:rPr>
          <w:lang w:val="el" w:eastAsia="el"/>
        </w:rPr>
        <w:t>Α. Π. Αποστολέα: Α1171</w:t>
      </w:r>
    </w:p>
    <w:p>
      <w:pPr>
        <w:pStyle w:val="PreambelText"/>
        <w:spacing w:before="240" w:after="240"/>
        <w:rPr>
          <w:lang w:val="el" w:eastAsia="el"/>
        </w:rPr>
      </w:pPr>
      <w:r>
        <w:rPr>
          <w:lang w:val="el" w:eastAsia="el"/>
        </w:rPr>
        <w:t>Ημ/νία Αποστολής: 10/12/2025</w:t>
      </w:r>
    </w:p>
    <w:p>
      <w:pPr>
        <w:pStyle w:val="PreambelText"/>
        <w:spacing w:before="240" w:after="240"/>
        <w:rPr>
          <w:lang w:val="el" w:eastAsia="el"/>
        </w:rPr>
      </w:pPr>
      <w:r>
        <w:rPr>
          <w:b/>
          <w:bCs/>
          <w:lang w:val="el" w:eastAsia="el"/>
        </w:rPr>
        <w:t>Αριθ.ΦΕΚ:Β’6691/11.12.2025</w:t>
      </w:r>
    </w:p>
    <w:p>
      <w:pPr>
        <w:pStyle w:val="PreambelText"/>
        <w:spacing w:before="240" w:after="240"/>
        <w:rPr>
          <w:lang w:val="el" w:eastAsia="el"/>
        </w:rPr>
      </w:pPr>
      <w:r>
        <w:rPr>
          <w:b/>
          <w:bCs/>
          <w:lang w:val="el" w:eastAsia="el"/>
        </w:rPr>
        <w:t>Αθήνα, 10 Δεκεμβρίου 2025</w:t>
      </w:r>
    </w:p>
    <w:p>
      <w:pPr>
        <w:pStyle w:val="PreambelText"/>
        <w:spacing w:before="240" w:after="240"/>
        <w:rPr>
          <w:lang w:val="el" w:eastAsia="el"/>
        </w:rPr>
      </w:pPr>
      <w:r>
        <w:rPr>
          <w:b/>
          <w:bCs/>
          <w:lang w:val="el" w:eastAsia="el"/>
        </w:rPr>
        <w:t>Α.1171</w:t>
      </w:r>
    </w:p>
    <w:p>
      <w:pPr>
        <w:pStyle w:val="PreambelText"/>
        <w:spacing w:before="240" w:after="240"/>
        <w:rPr>
          <w:lang w:val="el" w:eastAsia="el"/>
        </w:rPr>
      </w:pPr>
      <w:r>
        <w:rPr>
          <w:b/>
          <w:bCs/>
          <w:lang w:val="el" w:eastAsia="el"/>
        </w:rPr>
        <w:t>&amp; ΟΙΚΟΝΟΜΙΚΩΝ</w:t>
      </w:r>
    </w:p>
    <w:p>
      <w:pPr>
        <w:pStyle w:val="PreambelText"/>
        <w:spacing w:before="240" w:after="24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Α.1122/2024 κοινής απόφασης του Υφυπουργού Εθνικής Οικονομίας &amp;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b/>
          <w:bCs/>
          <w:lang w:val="el" w:eastAsia="el"/>
        </w:rPr>
        <w:t>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9Α και 9Β του άρθρου 5 του ν. 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4.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5.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6. </w:t>
      </w:r>
      <w:r>
        <w:rPr>
          <w:b/>
          <w:bCs/>
          <w:lang w:val="el" w:eastAsia="el"/>
        </w:rPr>
        <w:t>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 xml:space="preserve">7.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8. </w:t>
      </w:r>
      <w:r>
        <w:rPr>
          <w:b/>
          <w:bCs/>
          <w:lang w:val="el" w:eastAsia="el"/>
        </w:rPr>
        <w:t>Την υπό στοιχεία Α.1138/12.6.2020 κοινή Απόφαση του Υφυπουργού Οικονομικών και του Διοικητή της Ανεξάρτητης Αρχής Δημοσίων Εσόδων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9. </w:t>
      </w:r>
      <w:r>
        <w:rPr>
          <w:b/>
          <w:bCs/>
          <w:lang w:val="el" w:eastAsia="el"/>
        </w:rPr>
        <w:t>Την υπό στοιχεία Α.1122/31.7.2024 κοινή απόφαση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10. </w:t>
      </w:r>
      <w:r>
        <w:rPr>
          <w:b/>
          <w:bCs/>
          <w:lang w:val="el" w:eastAsia="el"/>
        </w:rPr>
        <w:t>Την υπό στοιχεία Α.1123/15.7.2024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lang w:val="el" w:eastAsia="el"/>
        </w:rPr>
        <w:t xml:space="preserve">11. </w:t>
      </w:r>
      <w:r>
        <w:rPr>
          <w:b/>
          <w:bCs/>
          <w:lang w:val="el" w:eastAsia="el"/>
        </w:rPr>
        <w:t>Την υπό στοιχεία Α.1060/18.3.2021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(Β΄1217).</w:t>
      </w:r>
    </w:p>
    <w:p>
      <w:pPr>
        <w:spacing w:before="240" w:after="240"/>
        <w:rPr>
          <w:lang w:val="el" w:eastAsia="el"/>
        </w:rPr>
      </w:pPr>
      <w:r>
        <w:rPr>
          <w:lang w:val="el" w:eastAsia="el"/>
        </w:rPr>
        <w:t xml:space="preserve">12.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w:t>
      </w:r>
    </w:p>
    <w:p>
      <w:pPr>
        <w:spacing w:before="240" w:after="240"/>
        <w:rPr>
          <w:lang w:val="el" w:eastAsia="el"/>
        </w:rPr>
      </w:pPr>
      <w:r>
        <w:rPr>
          <w:b/>
          <w:bCs/>
          <w:lang w:val="el" w:eastAsia="el"/>
        </w:rPr>
        <w:t>Εθνικής Οικονομίας και Οικονομικών με θέμα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13. </w:t>
      </w:r>
      <w:r>
        <w:rPr>
          <w:b/>
          <w:bCs/>
          <w:lang w:val="el" w:eastAsia="el"/>
        </w:rPr>
        <w:t>Την ανάγκη μετάθεσης του χρόνου έναρξης εφαρμογής της πρώτης φάσης αναφορικά με τη διακίνηση ελαιοκάρπου από τους ελαιώνες των παραγωγών-αγροτών προς τα ελαιοτριβεία, δεδομένου ότι η μεταφορά ελαιοκάρπου παρουσιάζει ιδιομορφίες, ώστε να παρασχεθεί επαρκής χρόνος σε αυτούς για τις αναγκαίες τεχνικές υλοποιήσεις.</w:t>
      </w:r>
    </w:p>
    <w:p>
      <w:pPr>
        <w:spacing w:before="240" w:after="240"/>
        <w:rPr>
          <w:lang w:val="el" w:eastAsia="el"/>
        </w:rPr>
      </w:pPr>
      <w:r>
        <w:rPr>
          <w:lang w:val="el" w:eastAsia="el"/>
        </w:rPr>
        <w:t xml:space="preserve">14.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15.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Τροποποιείται η υπό στοιχεία Α.1122/2024 κοινή απόφαση του Υφυπουργού Εθνικής Οικονομίας και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7 του άρθρου 4 αντικαθίσταται ως εξής:</w:t>
      </w:r>
    </w:p>
    <w:p>
      <w:pPr>
        <w:spacing w:before="240" w:after="240"/>
        <w:rPr>
          <w:lang w:val="el" w:eastAsia="el"/>
        </w:rPr>
      </w:pPr>
      <w:r>
        <w:rPr>
          <w:b/>
          <w:bCs/>
          <w:lang w:val="el" w:eastAsia="el"/>
        </w:rPr>
        <w:t>«7. Η παρ. 5.8.4 της υπό στοιχεία ΠΟΛ.1003/2014 παύει να ισχύει από 1/12/2025, με εξαίρεση την περ. στ) αυτής, αναφορικά με τη διακίνηση ελαιοκάρπου από τους ελαιώνες των παραγωγών-αγροτών του κανονικού καθεστώτος ΦΠΑ προς τα ελαιοτριβεία για έκθλιψη, η οποία εξακολουθεί να ισχύει έως και την 30/4/2026, υπό την προϋπόθεση έκδοσης δελτίου ποσοτικής παραλαβής από τα ελαιοτριβεία κατά την παραλαβή του ελαιοκάρπου και εφόσον οι παραγωγοί-αγρότες δεν εντάσσονται στις υπόχρεες οντότητες της πρώτης περιόδου εφαρμογής της υποχρέωσης ψηφιακής παρακολούθησης διακίνησης αποθεμάτων.».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 Ο ΥΦΥΠΟΥΡΓΟΣ ΕΘΝΙΚΗΣ ΟΙΚΟΝΟΜΙΑΣ &amp;</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ΓΕΩΡΓΙΟΣ ΠΙΤΣΙΛΗΣ 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Ελεγκτικών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ΚΑΚΟΥΛΙ∆ΗΣ ΚΥΡΙΑΚΟΣ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