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18/12/2025</w:t>
      </w:r>
    </w:p>
    <w:p>
      <w:pPr>
        <w:pStyle w:val="Title"/>
        <w:spacing w:before="120" w:after="360"/>
        <w:rPr>
          <w:lang w:val="el" w:eastAsia="el"/>
        </w:rPr>
      </w:pPr>
      <w:r>
        <w:rPr>
          <w:lang w:val="el" w:eastAsia="el"/>
        </w:rPr>
        <w:t>Α. Π.: Εισερχ. Α1183</w:t>
      </w:r>
    </w:p>
    <w:p>
      <w:pPr>
        <w:pStyle w:val="Title"/>
        <w:spacing w:before="120" w:after="360"/>
        <w:rPr>
          <w:lang w:val="el" w:eastAsia="el"/>
        </w:rPr>
      </w:pPr>
      <w:r>
        <w:rPr>
          <w:lang w:val="el" w:eastAsia="el"/>
        </w:rPr>
        <w:t>Α. Π. Αποστολέα: Α1183 Ημ/νία Αποστολής: 18/12/2025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ΑΓΡΟΤΙΚΗΣ ΑΝΑΠΤΥΞΗΣ ΚΑΙ ΤΡΟΦΙΜΩΝ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3. </w:t>
      </w:r>
      <w:r>
        <w:rPr>
          <w:b/>
          <w:bCs/>
          <w:lang w:val="el" w:eastAsia="el"/>
        </w:rPr>
        <w:t>ΥΠΟΥΡΓΕΙΟ ΕΣΩΤΕΡΙΚΩΝ</w:t>
      </w:r>
    </w:p>
    <w:p>
      <w:pPr>
        <w:pStyle w:val="Title"/>
        <w:spacing w:before="120" w:after="360"/>
        <w:rPr>
          <w:lang w:val="el" w:eastAsia="el"/>
        </w:rPr>
      </w:pPr>
      <w:r>
        <w:rPr>
          <w:b/>
          <w:bCs/>
          <w:lang w:val="el" w:eastAsia="el"/>
        </w:rPr>
        <w:t>ΓΡΑΦΕΙΟ ΥΠΟΥΡΓΟΥ</w:t>
      </w:r>
    </w:p>
    <w:p>
      <w:pPr>
        <w:pStyle w:val="Title"/>
        <w:spacing w:before="120" w:after="360"/>
        <w:rPr>
          <w:lang w:val="el" w:eastAsia="el"/>
        </w:rPr>
      </w:pPr>
      <w:r>
        <w:rPr>
          <w:lang w:val="el" w:eastAsia="el"/>
        </w:rPr>
        <w:t xml:space="preserve">4.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ΤΕΛΩΝΕΙΩΝ &amp; ΕΙΔΙΚΩΝ</w:t>
      </w:r>
    </w:p>
    <w:p>
      <w:pPr>
        <w:pStyle w:val="PreambelText"/>
        <w:spacing w:before="240" w:after="240"/>
        <w:rPr>
          <w:lang w:val="el" w:eastAsia="el"/>
        </w:rPr>
      </w:pPr>
      <w:r>
        <w:rPr>
          <w:b/>
          <w:bCs/>
          <w:lang w:val="el" w:eastAsia="el"/>
        </w:rPr>
        <w:t>ΦΟΡΩΝ ΚΑΤΑΝΑΛΩΣΗΣ</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Γ.ΓΕΝΙΚΗ ΔΙΕΥΘΥΝΣΗ ΗΛΕΚΤΡΟΝΙΚΗΣ</w:t>
      </w:r>
    </w:p>
    <w:p>
      <w:pPr>
        <w:spacing w:before="240" w:after="240"/>
        <w:rPr>
          <w:lang w:val="el" w:eastAsia="el"/>
        </w:rPr>
      </w:pPr>
      <w:r>
        <w:rPr>
          <w:b/>
          <w:bCs/>
          <w:lang w:val="el" w:eastAsia="el"/>
        </w:rPr>
        <w:t>ΑΔΑ: 92Ξ246ΜΠ3Ζ-0Σ7</w:t>
      </w:r>
    </w:p>
    <w:p>
      <w:pPr>
        <w:spacing w:before="240" w:after="240"/>
        <w:rPr>
          <w:lang w:val="el" w:eastAsia="el"/>
        </w:rPr>
      </w:pPr>
      <w:r>
        <w:rPr>
          <w:b/>
          <w:bCs/>
          <w:lang w:val="el" w:eastAsia="el"/>
        </w:rPr>
        <w:t>Αριθ. ΦΕΚ: Β΄6869/19.12.2025</w:t>
      </w:r>
    </w:p>
    <w:p>
      <w:pPr>
        <w:spacing w:before="240" w:after="240"/>
        <w:rPr>
          <w:lang w:val="el" w:eastAsia="el"/>
        </w:rPr>
      </w:pPr>
      <w:r>
        <w:rPr>
          <w:b/>
          <w:bCs/>
          <w:lang w:val="el" w:eastAsia="el"/>
        </w:rPr>
        <w:t>Αθήνα, 16 Δεκεμβρίου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2131410241</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και αναστολή είσπραξης βεβαιωμένων οφειλών κτηνοτροφικών εκμεταλλεύσεων στις οποίες επιβλήθηκε το μέτρο της καθολικής θανάτωσης των ζώων στο πλαίσιο περιορισμού των ζωονόσων»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Ο ΥΠΟΥΡΓΟΣ ΕΣΩΤΕΡΙΚΩΝ,</w:t>
      </w:r>
    </w:p>
    <w:p>
      <w:pPr>
        <w:spacing w:before="240" w:after="240"/>
        <w:rPr>
          <w:lang w:val="el" w:eastAsia="el"/>
        </w:rPr>
      </w:pPr>
      <w:r>
        <w:rPr>
          <w:b/>
          <w:bCs/>
          <w:u w:val="single"/>
          <w:lang w:val="el" w:eastAsia="el"/>
        </w:rPr>
        <w:t>Ο ΥΦΥΠΟΥΡΓΟΣ ΑΓΡΟΤΙΚΗΣ ΑΝΑΠΤΥΞΗΣ &amp; ΤΡΟΦΙΜΩΝ,</w:t>
      </w:r>
    </w:p>
    <w:p>
      <w:pPr>
        <w:spacing w:before="240" w:after="240"/>
        <w:rPr>
          <w:lang w:val="el" w:eastAsia="el"/>
        </w:rPr>
      </w:pPr>
      <w:r>
        <w:rPr>
          <w:b/>
          <w:bCs/>
          <w:u w:val="single"/>
          <w:lang w:val="el" w:eastAsia="el"/>
        </w:rPr>
        <w:t>ΚΑΙ</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96 του ν. 5239/2025 «Δίκαιη Εργασία για Όλους: Απλοποίηση της Νομοθεσίας – Στήριξη στον Εργαζόμενο – Προστασία στην Πράξη – Συνταξιοδοτικές ρυθμίσεις και λοιπές διατάξεις.» (Α΄178) και ιδίως την περ. β της παρ. 4 αυτού.</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«Κώδικας Φορολογικής Διαδικασίας και άλλες διατάξεις» (Α΄ 58), (Κ.Φ.Δ.).</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Το π.δ. 97/2017 «Οργανισμός Υπουργείου Αγροτικής Ανάπτυξης και Τροφίμων» (Α΄138).</w:t>
      </w:r>
    </w:p>
    <w:p>
      <w:pPr>
        <w:spacing w:before="240" w:after="240"/>
        <w:rPr>
          <w:lang w:val="el" w:eastAsia="el"/>
        </w:rPr>
      </w:pPr>
      <w:r>
        <w:rPr>
          <w:u w:val="single"/>
          <w:lang w:val="el" w:eastAsia="el"/>
        </w:rPr>
        <w:t xml:space="preserve">6. </w:t>
      </w:r>
      <w:r>
        <w:rPr>
          <w:b/>
          <w:bCs/>
          <w:u w:val="single"/>
          <w:lang w:val="el" w:eastAsia="el"/>
        </w:rPr>
        <w:t>Το π.δ. 141/2017 «Οργανισμός Υπουργείου Εσωτερικών» (Α΄180).</w:t>
      </w:r>
    </w:p>
    <w:p>
      <w:pPr>
        <w:spacing w:before="240" w:after="240"/>
        <w:rPr>
          <w:lang w:val="el" w:eastAsia="el"/>
        </w:rPr>
      </w:pPr>
      <w:r>
        <w:rPr>
          <w:u w:val="single"/>
          <w:lang w:val="el" w:eastAsia="el"/>
        </w:rPr>
        <w:t xml:space="preserve">7.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8. </w:t>
      </w:r>
      <w:r>
        <w:rPr>
          <w:b/>
          <w:bCs/>
          <w:u w:val="single"/>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 αυτού.</w:t>
      </w:r>
    </w:p>
    <w:p>
      <w:pPr>
        <w:spacing w:before="240" w:after="240"/>
        <w:rPr>
          <w:lang w:val="el" w:eastAsia="el"/>
        </w:rPr>
      </w:pPr>
      <w:r>
        <w:rPr>
          <w:u w:val="single"/>
          <w:lang w:val="el" w:eastAsia="el"/>
        </w:rPr>
        <w:t xml:space="preserve">9.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10.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11.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12. </w:t>
      </w:r>
      <w:r>
        <w:rPr>
          <w:b/>
          <w:bCs/>
          <w:u w:val="single"/>
          <w:lang w:val="el" w:eastAsia="el"/>
        </w:rPr>
        <w:t>Το π.δ. 32/2024 «Διορισμός Υπουργών και Υφυπουργών» (Α΄91)</w:t>
      </w:r>
    </w:p>
    <w:p>
      <w:pPr>
        <w:spacing w:before="240" w:after="240"/>
        <w:rPr>
          <w:lang w:val="el" w:eastAsia="el"/>
        </w:rPr>
      </w:pPr>
      <w:r>
        <w:rPr>
          <w:u w:val="single"/>
          <w:lang w:val="el" w:eastAsia="el"/>
        </w:rPr>
        <w:t xml:space="preserve">13.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14. </w:t>
      </w:r>
      <w:r>
        <w:rPr>
          <w:b/>
          <w:bCs/>
          <w:u w:val="single"/>
          <w:lang w:val="el" w:eastAsia="el"/>
        </w:rPr>
        <w:t>Την υπ΄ αριθμ. 2748/01.11.2024 κοινή απόφαση του Πρωθυπουργού και του Υπουργού Αγροτικής Ανάπτυξης και Τροφίμων «Ανάθεση αρμοδιοτήτων στον Υφυπουργό Αγροτικής Ανάπτυξης και Τροφίμων, Χρήστο Κέλλα» (Β΄6049)</w:t>
      </w:r>
    </w:p>
    <w:p>
      <w:pPr>
        <w:spacing w:before="240" w:after="240"/>
        <w:rPr>
          <w:lang w:val="el" w:eastAsia="el"/>
        </w:rPr>
      </w:pPr>
      <w:r>
        <w:rPr>
          <w:u w:val="single"/>
          <w:lang w:val="el" w:eastAsia="el"/>
        </w:rPr>
        <w:t xml:space="preserve">15.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16. </w:t>
      </w:r>
      <w:r>
        <w:rPr>
          <w:b/>
          <w:bCs/>
          <w:u w:val="single"/>
          <w:lang w:val="el" w:eastAsia="el"/>
        </w:rPr>
        <w:t>Την υπ΄αρ. 1747/386028/14.12.2023 υπουργική απόφαση «Σχέδιο αντιμετώπισης έκτακτης ανάγκης για την καταπολέμηση των ασθενειών του Παραρτήματος I του π.δ. 138/1995 (Α΄ 88)» (Β΄ 7121).</w:t>
      </w:r>
    </w:p>
    <w:p>
      <w:pPr>
        <w:spacing w:before="240" w:after="240"/>
        <w:rPr>
          <w:lang w:val="el" w:eastAsia="el"/>
        </w:rPr>
      </w:pPr>
      <w:r>
        <w:rPr>
          <w:u w:val="single"/>
          <w:lang w:val="el" w:eastAsia="el"/>
        </w:rPr>
        <w:t xml:space="preserve">17. </w:t>
      </w:r>
      <w:r>
        <w:rPr>
          <w:b/>
          <w:bCs/>
          <w:u w:val="single"/>
          <w:lang w:val="el" w:eastAsia="el"/>
        </w:rPr>
        <w:t>Το γεγονός ότι, στο πλαίσιο αντιμετώπισης μεταδοτικών νοσημάτων των ζώων, στις πληγείσες κτηνοτροφικές εκμεταλλεύσεις επιβλήθηκαν μέτρα εξυγίανσης του ζωικού τους κεφαλαίου με αποτέλεσμα να απορρυθμιστεί η οικονομική ζωή αυτών.</w:t>
      </w:r>
    </w:p>
    <w:p>
      <w:pPr>
        <w:spacing w:before="240" w:after="240"/>
        <w:rPr>
          <w:lang w:val="el" w:eastAsia="el"/>
        </w:rPr>
      </w:pPr>
      <w:r>
        <w:rPr>
          <w:u w:val="single"/>
          <w:lang w:val="el" w:eastAsia="el"/>
        </w:rPr>
        <w:t xml:space="preserve">18.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u w:val="single"/>
          <w:lang w:val="el" w:eastAsia="el"/>
        </w:rPr>
        <w:t xml:space="preserve">19. </w:t>
      </w:r>
      <w:r>
        <w:rPr>
          <w:b/>
          <w:bCs/>
          <w:u w:val="single"/>
          <w:lang w:val="el" w:eastAsia="el"/>
        </w:rPr>
        <w:t>Το γεγονός ότι οι διατάξεις της παρούσας αφορούν σε διοικητική διαδικασία με τίτλο «Παράταση καταβολής και αναστολή είσπραξης βεβαιωμένων στην ΑΑΔΕ οφειλών κτηνοτροφικών εκμεταλλεύσεων στις οποίες επιβλήθηκε το μέτρο της καθολικής θανάτωσης των ζώων στο πλαίσιο περιορισμού των ζωονόσων»,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ΑΡΘΡΟ 1</w:t>
      </w:r>
      <w:r>
        <w:rPr>
          <w:u w:val="single"/>
          <w:lang w:val="el" w:eastAsia="el"/>
        </w:rPr>
        <w:t xml:space="preserve"> </w:t>
      </w:r>
    </w:p>
    <w:p>
      <w:pPr>
        <w:pStyle w:val="Heading6"/>
        <w:spacing w:before="240" w:after="240"/>
        <w:rPr>
          <w:lang w:val="el" w:eastAsia="el"/>
        </w:rPr>
      </w:pPr>
      <w:r>
        <w:rPr>
          <w:b/>
          <w:bCs/>
          <w:u w:val="single"/>
          <w:lang w:val="el" w:eastAsia="el"/>
        </w:rPr>
        <w:t>ΠΑΡΑΤΑΣΗ ΚΑΤΑΒΟΛΗΣ ΒΕΒΑΙΩΜΕΝΩΝ ΣΤΗΝ ΑΑΔΕ ΟΦΕΙΛΩΝ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τις κτηνοτροφικές εκμεταλλεύσεις στις οποίες έχει επιβληθεί το μέτρο της καθολικής θανάτωσης των ζώων, στο πλαίσιο επιβολής μέτρων ελέγχου και εκρίζωσης νόσου, μετά από επίσημη επιβεβαίωση εμφάνισης εστίας νόσου κατηγορίας Α΄βάσει του Κανονισμού (EE) 2016/429 του Ευρωπαϊκού Κοινοβουλίου και του Συμβουλίου, της 9</w:t>
      </w:r>
      <w:r>
        <w:rPr>
          <w:b/>
          <w:bCs/>
          <w:sz w:val="30"/>
          <w:szCs w:val="30"/>
          <w:u w:val="single"/>
          <w:vertAlign w:val="superscript"/>
          <w:lang w:val="el" w:eastAsia="el"/>
        </w:rPr>
        <w:t xml:space="preserve">ης </w:t>
      </w:r>
      <w:r>
        <w:rPr>
          <w:b/>
          <w:bCs/>
          <w:u w:val="single"/>
          <w:lang w:val="el" w:eastAsia="el"/>
        </w:rPr>
        <w:t>Μαρτίου 2016, σχετικά με τις μεταδοτικές νόσους των ζώων και για την τροποποίηση και την κατάργηση ορισμένων πράξεων στον τομέα της υγείας των ζώων («νόμος για την υγεία των ζώων») (L 84), του Εκτελεστικού Κανονισμού (ΕΕ) 2018/1882 της Επιτροπής, της 3</w:t>
      </w:r>
      <w:r>
        <w:rPr>
          <w:b/>
          <w:bCs/>
          <w:sz w:val="30"/>
          <w:szCs w:val="30"/>
          <w:u w:val="single"/>
          <w:vertAlign w:val="superscript"/>
          <w:lang w:val="el" w:eastAsia="el"/>
        </w:rPr>
        <w:t>ης</w:t>
      </w:r>
      <w:r>
        <w:rPr>
          <w:b/>
          <w:bCs/>
          <w:u w:val="single"/>
          <w:lang w:val="el" w:eastAsia="el"/>
        </w:rPr>
        <w:t xml:space="preserve"> Δεκεμβρίου 2018, για την εφαρμογή ορισμένων κανόνων πρόληψης και ελέγχου νόσων σε κατηγορίες καταγεγραμμένων νόσων και για την κατάρτιση καταλόγου ειδών και ομάδων ειδών οργανισμών που συνιστούν σημαντικό κίνδυνο εξάπλωσης των εν λόγω καταγεγραμμένων νόσων (L 308) –εφεξής μέτρο-, και του κατ’ εξουσιοδότηση Κανονισμού 2020/687 της Επιτροπής της 17</w:t>
      </w:r>
      <w:r>
        <w:rPr>
          <w:b/>
          <w:bCs/>
          <w:sz w:val="30"/>
          <w:szCs w:val="30"/>
          <w:u w:val="single"/>
          <w:vertAlign w:val="superscript"/>
          <w:lang w:val="el" w:eastAsia="el"/>
        </w:rPr>
        <w:t>ης</w:t>
      </w:r>
      <w:r>
        <w:rPr>
          <w:b/>
          <w:bCs/>
          <w:u w:val="single"/>
          <w:lang w:val="el" w:eastAsia="el"/>
        </w:rPr>
        <w:t xml:space="preserve"> Δεκεμβρίου 2019, για τη συμπλήρωση του κανονισμού (ΕΕ) 2016/429 του Ευρωπαϊκού Κοινοβουλίου και του Συμβουλίου όσον αφορά τους κανόνες για την πρόληψη και τον έλεγχο ορισμένων καταγεγραμμένων νόσων</w:t>
      </w:r>
    </w:p>
    <w:p>
      <w:pPr>
        <w:spacing w:before="240" w:after="240"/>
        <w:rPr>
          <w:lang w:val="el" w:eastAsia="el"/>
        </w:rPr>
      </w:pPr>
      <w:r>
        <w:rPr>
          <w:u w:val="single"/>
          <w:lang w:val="el" w:eastAsia="el"/>
        </w:rPr>
        <w:t xml:space="preserve">i. </w:t>
      </w:r>
      <w:r>
        <w:rPr>
          <w:b/>
          <w:bCs/>
          <w:u w:val="single"/>
          <w:lang w:val="el" w:eastAsia="el"/>
        </w:rPr>
        <w:t>μέχρι και τις 17.10.2025, ημερομηνία έναρξης ισχύος του άρθρου 96 του ν. 5239/2025, οι προθεσμίες καταβολής των βεβαιωμένων στην ΑΑΔΕ οφειλών που λήγουν ή έληξαν από 17.10.2025 μέχρι και 31.12.2026 παρατείνονται μέχρι και την 31.12.2026,</w:t>
      </w:r>
    </w:p>
    <w:p>
      <w:pPr>
        <w:spacing w:before="240" w:after="240"/>
        <w:rPr>
          <w:lang w:val="el" w:eastAsia="el"/>
        </w:rPr>
      </w:pPr>
      <w:r>
        <w:rPr>
          <w:u w:val="single"/>
          <w:lang w:val="el" w:eastAsia="el"/>
        </w:rPr>
        <w:t xml:space="preserve">ii. </w:t>
      </w:r>
      <w:r>
        <w:rPr>
          <w:b/>
          <w:bCs/>
          <w:u w:val="single"/>
          <w:lang w:val="el" w:eastAsia="el"/>
        </w:rPr>
        <w:t>από τις 18.10.2025, οι προθεσμίες καταβολής των βεβαιωμένων στην ΑΑΔΕ οφειλών που λήγουν ή έληξαν από την ημερομηνία επιβολής του μέτρου μέχρι και 31.12.2026 παρατείνονται μέχρι και την 31.12.2026.</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 τμηματικής καταβολής που λήγουν ή έληξαν από την ημερομηνία κατά τα ειδικότερα οριζόμενα στις περ. i και ii της παρ. 1, ήτοι από τις 17.10.2025 ή από την ημερομηνία επιβολής του μέτρου της παρ. 1 αντίστοιχα, μέχρι και τις 31.12.2026 παρατείνονται μετά το πέρας του προγράμματος ρύθμισης. Ειδικότερα, οι δόσεις ρυθμίσεων του προηγούμενου εδαφίου καταβάλλονται από την τελευταία εργάσιμη ημέρα του μήνα που έπεται του τελευταίου μήνα του προγράμματος, με ταυτόχρονη παράταση του συνολικού προγράμματος, με τους ίδιους όρους και προϋποθέσεις, για ίσο αριθμό μηνών με τη διάρκεια της χορηγηθείσας παράτασης καταβολής.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Τυχόν καταβληθείσες προσαυξήσεις/ τόκοι/ επιβαρύνσεις εκπρόθεσμης καταβολής που επιβλήθηκαν στις οφειλές της παρ. 1 από την ημερομηνία κατά τα ειδικότερα οριζόμενα στις περ. i και ii της παρ. 1, ήτοι από τις 17.10.2025 ή από την ημερομηνία επιβολής του μέτρου της παρ. 1 αντίστοιχα, και μέχρι τις 31.12.2026, επιστρέφονται ύστερα από σχετική αίτηση του φορολογούμενου στην αρμόδια Υπηρεσία στα βιβλία εισπρακτέων εσόδων της οποίας έχουν καταχωρισθεί οι οφειλές αυτές. Ομοίως, ρυθμίσεις της παρ. 2 που τυχόν απωλέσθηκαν από την ημερομηνία κατά τα ειδικότερα οριζόμενα στις περ. i και ii της παρ.1, ήτοι από τις 17.10.2025 ή από την ημερομηνία επιβολής του μέτρου της παρ. 1 αντίστοιχα, και μέχρι τις 31.12.2026, αναβιώνουν ύστερα από σχετική αίτηση του φορολογούμενου προς την αρμόδια για την επιδίωξη της είσπραξης της οφειλής Υπηρεσία, προκειμένου εν συνεχεία αυτές να ενταχθούν στις διατάξεις της παρ. 2.</w:t>
      </w:r>
    </w:p>
    <w:p>
      <w:pPr>
        <w:pStyle w:val="Heading6"/>
        <w:spacing w:before="240" w:after="240"/>
        <w:rPr>
          <w:lang w:val="el" w:eastAsia="el"/>
        </w:rPr>
      </w:pPr>
      <w:r>
        <w:rPr>
          <w:b/>
          <w:bCs/>
          <w:u w:val="single"/>
          <w:lang w:val="el" w:eastAsia="el"/>
        </w:rPr>
        <w:t>ΑΡΘΡΟ 2</w:t>
      </w:r>
      <w:r>
        <w:rPr>
          <w:u w:val="single"/>
          <w:lang w:val="el" w:eastAsia="el"/>
        </w:rPr>
        <w:t xml:space="preserve"> </w:t>
      </w:r>
    </w:p>
    <w:p>
      <w:pPr>
        <w:pStyle w:val="Heading6"/>
        <w:spacing w:before="240" w:after="240"/>
        <w:rPr>
          <w:lang w:val="el" w:eastAsia="el"/>
        </w:rPr>
      </w:pPr>
      <w:r>
        <w:rPr>
          <w:b/>
          <w:bCs/>
          <w:u w:val="single"/>
          <w:lang w:val="el" w:eastAsia="el"/>
        </w:rPr>
        <w:t>ΑΝΑΣΤΟΛΗ ΕΙΣΠΡΑΞΗΣ ΒΕΒΑΙΩΜΕΝΩΝ ΣΤΗΝ ΑΑΔΕ ΟΦΕΙΛΩΝ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 Για τις κτηνοτροφικές εκμεταλλεύσεις του άρθρου 1 στις οποίες έχει επιβληθεί το μέτρο</w:t>
      </w:r>
    </w:p>
    <w:p>
      <w:pPr>
        <w:spacing w:before="240" w:after="240"/>
        <w:rPr>
          <w:lang w:val="el" w:eastAsia="el"/>
        </w:rPr>
      </w:pPr>
      <w:r>
        <w:rPr>
          <w:u w:val="single"/>
          <w:lang w:val="el" w:eastAsia="el"/>
        </w:rPr>
        <w:t xml:space="preserve">i. </w:t>
      </w:r>
      <w:r>
        <w:rPr>
          <w:b/>
          <w:bCs/>
          <w:u w:val="single"/>
          <w:lang w:val="el" w:eastAsia="el"/>
        </w:rPr>
        <w:t>μέχρι και τις 17.10.2025, ημερομηνία έναρξης ισχύος του άρθρου 96 του ν. 5239/2025, η πληρωμή των βεβαιωμένων στην ΑΑΔΕ και ληξιπρόθεσμων την 17.10.2025 οφειλών αναστέλλεται από 17.10.2025 μέχρι και 31.12.2026,</w:t>
      </w:r>
    </w:p>
    <w:p>
      <w:pPr>
        <w:spacing w:before="240" w:after="240"/>
        <w:rPr>
          <w:lang w:val="el" w:eastAsia="el"/>
        </w:rPr>
      </w:pPr>
      <w:r>
        <w:rPr>
          <w:u w:val="single"/>
          <w:lang w:val="el" w:eastAsia="el"/>
        </w:rPr>
        <w:t xml:space="preserve">ii. </w:t>
      </w:r>
      <w:r>
        <w:rPr>
          <w:b/>
          <w:bCs/>
          <w:u w:val="single"/>
          <w:lang w:val="el" w:eastAsia="el"/>
        </w:rPr>
        <w:t>από τις 18.10.2025, η πληρωμή των βεβαιωμένων στην ΑΑΔΕ και ληξιπρόθεσμων την ημερομηνία επιβολής του μέτρου οφειλών αναστέλλεται από την ημερομηνία επιβολής του μέτρου μέχρι και 31.12.2026.</w:t>
      </w:r>
    </w:p>
    <w:p>
      <w:pPr>
        <w:spacing w:before="240" w:after="240"/>
        <w:rPr>
          <w:lang w:val="el" w:eastAsia="el"/>
        </w:rPr>
      </w:pPr>
      <w:r>
        <w:rPr>
          <w:b/>
          <w:bCs/>
          <w:u w:val="single"/>
          <w:lang w:val="el" w:eastAsia="el"/>
        </w:rPr>
        <w:t>β. Ποσά που έχουν αποδοθεί από αναγκαστικά μέτρα που επιβλήθηκαν από την ημερομηνία κατά τα ειδικότερα οριζόμενα στις υποπερ. i και ii της περ. α΄της παρούσας, ήτοι από τις 17.10.2025 ή από την ημερομηνία επιβολής του μέτρου της παρ. 1 του άρθρου 1 αντίστοιχα, και μέχρι τις 31.12.2026 για την είσπραξη των οφειλών του παρόντος άρθρου, επιστρέφονται κατά τις κείμενες διατάξεις στον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του παρόντος άρθρου, εντός του ως άνω αντίστοιχου χρονικού διαστήματος, δεν επιστρέφονται.</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Κατά το χρονικό διάστημα της αναστολής της παρ. 1 δεν υπολογίζονται για τις αντίστοιχες κτηνοτροφικές εκμεταλλεύσεις τόκοι και λοιπές προσαυξήσεις και επιβαρύνσεις.</w:t>
      </w:r>
    </w:p>
    <w:p>
      <w:pPr>
        <w:pStyle w:val="Heading6"/>
        <w:spacing w:before="240" w:after="240"/>
        <w:rPr>
          <w:lang w:val="el" w:eastAsia="el"/>
        </w:rPr>
      </w:pPr>
      <w:r>
        <w:rPr>
          <w:b/>
          <w:bCs/>
          <w:u w:val="single"/>
          <w:lang w:val="el" w:eastAsia="el"/>
        </w:rPr>
        <w:t>ΑΡΘΡΟ 3</w:t>
      </w:r>
      <w:r>
        <w:rPr>
          <w:u w:val="single"/>
          <w:lang w:val="el" w:eastAsia="el"/>
        </w:rPr>
        <w:t xml:space="preserve"> </w:t>
      </w:r>
    </w:p>
    <w:p>
      <w:pPr>
        <w:pStyle w:val="Heading6"/>
        <w:spacing w:before="240" w:after="240"/>
        <w:rPr>
          <w:lang w:val="el" w:eastAsia="el"/>
        </w:rPr>
      </w:pPr>
      <w:r>
        <w:rPr>
          <w:b/>
          <w:bCs/>
          <w:u w:val="single"/>
          <w:lang w:val="el" w:eastAsia="el"/>
        </w:rPr>
        <w:t>ΑΝΑΣΤΟΛΗ ΕΙΣΠΡΑΞΗΣ ΟΦΕΙΛΩΝ ΠΡΟΣ ΟΤΑ ΚΑΙ Ν.Π. ΑΥΤΩΝ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τις κτηνοτροφικές εκμεταλλεύσεις του άρθρου 1 στις οποίες έχει επιβληθεί το μέτρο,</w:t>
      </w:r>
    </w:p>
    <w:p>
      <w:pPr>
        <w:spacing w:before="240" w:after="240"/>
        <w:rPr>
          <w:lang w:val="el" w:eastAsia="el"/>
        </w:rPr>
      </w:pPr>
      <w:r>
        <w:rPr>
          <w:u w:val="single"/>
          <w:lang w:val="el" w:eastAsia="el"/>
        </w:rPr>
        <w:t xml:space="preserve">i. </w:t>
      </w:r>
      <w:r>
        <w:rPr>
          <w:b/>
          <w:bCs/>
          <w:u w:val="single"/>
          <w:lang w:val="el" w:eastAsia="el"/>
        </w:rPr>
        <w:t>μέχρι και τις 17.10.2025, ημερομηνία έναρξης ισχύος του άρθρου 96 του ν. 5239/2025, η πληρωμή των βεβαιωμένων στους οικείους δήμους και τα νομικά τους πρόσωπα, ληξιπρόθεσμων την 17.10.2025 οφειλών από κάθε είδους τέλη-δικαιώματα και εισφορές, αναστέλλεται από 17.10.2025 μέχρι και 31.12.2026,</w:t>
      </w:r>
    </w:p>
    <w:p>
      <w:pPr>
        <w:spacing w:before="240" w:after="240"/>
        <w:rPr>
          <w:lang w:val="el" w:eastAsia="el"/>
        </w:rPr>
      </w:pPr>
      <w:r>
        <w:rPr>
          <w:u w:val="single"/>
          <w:lang w:val="el" w:eastAsia="el"/>
        </w:rPr>
        <w:t xml:space="preserve">ii. </w:t>
      </w:r>
      <w:r>
        <w:rPr>
          <w:b/>
          <w:bCs/>
          <w:u w:val="single"/>
          <w:lang w:val="el" w:eastAsia="el"/>
        </w:rPr>
        <w:t>από τις 18.10.2025, η πληρωμή των βεβαιωμένων στους οικείους δήμους και τα νομικά τους πρόσωπα, ληξιπρόθεσμων την ημερομηνία επιβολής του μέτρου οφειλών από κάθε είδους τέλη-δικαιώματα και εισφορές, αναστέλλεται από την ημερομηνία επιβολής του μέτρου μέχρι και 31.12.2026.</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Τυχόν δόσεις ρυθμίσεων τμηματικής καταβολής, των άρθρων 167-170 ΚΔΚ ή δόσεις από έκτακτη ρύθμιση οφειλών προς τους ΟΤΑ, που λήγουν ή έληξαν από την ημερομηνία κατά τα ειδικότερα οριζόμενα στις περ. i και ii της παρ. 1, ήτοι από τις 17.10.2025 ή από την ημερομηνία επιβολής του μέτρου της παρ. 1 αντίστοιχα, μέχρι και τις 31.12.2026 παρατείνονται μετά το πέρας του προγράμματος ρύθμισης. Ειδικότερα, οι δόσεις ρυθμίσεων του προηγούμενου εδαφίου καταβάλλονται από την τελευταία εργάσιμη ημέρα του μήνα που έπεται του τελευταίου μήνα του προγράμματος, με ταυτόχρονη παράταση του συνολικού προγράμματος, με τους ίδιους όρους και προϋποθέσεις, για ίσο αριθμό μηνών με τη διάρκεια της χορηγηθείσας παράτασης καταβολής.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Τυχόν καταβληθείσες προσαυξήσεις/ τόκοι/ επιβαρύνσεις εκπρόθεσμης καταβολής που επιβλήθηκαν στις οφειλές της παρ. 1 από την ημερομηνία κατά τα ειδικότερα οριζόμενα στις περ. i και ii της παρ. 1, ήτοι από τις 17.10.2025 ή από την ημερομηνία επιβολής του μέτρου της παρ. 1 αντίστοιχα, και μέχρι τις 31.12.2026, επιστρέφονται ύστερα από σχετική αίτηση του φορολογούμενου στην αρμόδια Υπηρεσία στα βιβλία εισπρακτέων εσόδων της οποίας έχουν καταχωριθεί οι οφειλές αυτές. Ομοίως, ρυθμίσεις της παρ. 2 που τυχόν απωλέσθηκαν από την ημερομηνία κατά τα ειδικότερα οριζόμενα στις περ. i και ii της παρ.1, ήτοι από τις 17.10.2025 ή από την ημερομηνία επιβολής του μέτρου της παρ. 1 αντίστοιχα, και μέχρι τις 31.12.2026, αναβιώνουν ύστερα από σχετική αίτηση του φορολογούμενου προς την αρμόδια για την επιδίωξη της είσπραξης της οφειλής Υπηρεσία, προκειμένου εν συνεχεία αυτές να ενταχθούν στις διατάξεις της παρ. 2.</w:t>
      </w:r>
    </w:p>
    <w:p>
      <w:pPr>
        <w:pStyle w:val="Heading6"/>
        <w:spacing w:before="240" w:after="240"/>
        <w:rPr>
          <w:lang w:val="el" w:eastAsia="el"/>
        </w:rPr>
      </w:pPr>
      <w:r>
        <w:rPr>
          <w:b/>
          <w:bCs/>
          <w:u w:val="single"/>
          <w:lang w:val="el" w:eastAsia="el"/>
        </w:rPr>
        <w:t>ΑΡΘΡΟ 4</w:t>
      </w:r>
      <w:r>
        <w:rPr>
          <w:u w:val="single"/>
          <w:lang w:val="el" w:eastAsia="el"/>
        </w:rPr>
        <w:t xml:space="preserve"> </w:t>
      </w:r>
    </w:p>
    <w:p>
      <w:pPr>
        <w:pStyle w:val="Heading6"/>
        <w:spacing w:before="240" w:after="240"/>
        <w:rPr>
          <w:lang w:val="el" w:eastAsia="el"/>
        </w:rPr>
      </w:pPr>
      <w:r>
        <w:rPr>
          <w:b/>
          <w:bCs/>
          <w:u w:val="single"/>
          <w:lang w:val="el" w:eastAsia="el"/>
        </w:rPr>
        <w:t>ΔΙΑΔΙΚΑΣΙΑ ΕΝΗΜΕΡΩΣΗΣ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την εφαρμογή των ευεργετικών διατάξεων της παρούσας το Υπουργείο Αγροτικής Ανάπτυξης και Τροφίμων αποστέλλει ηλεκτρονικά στη ΓΔΗΛΕΔ της ΑΑΔΕ καθώς και στους ΟΤΑ και στα νομικά πρόσωπα αυτών πίνακες που περιλαμβάνουν όλα τα απαραίτητα στοιχεία των κτηνοτροφικών εκμεταλλεύσεων στις οποίες έχει επιβληθεί το</w:t>
      </w:r>
    </w:p>
    <w:p>
      <w:pPr>
        <w:spacing w:before="240" w:after="240"/>
        <w:rPr>
          <w:lang w:val="el" w:eastAsia="el"/>
        </w:rPr>
      </w:pPr>
      <w:r>
        <w:rPr>
          <w:b/>
          <w:bCs/>
          <w:u w:val="single"/>
          <w:lang w:val="el" w:eastAsia="el"/>
        </w:rPr>
        <w:t>μέτρο, ήτοι κατ’ ελάχιστον τον ΑΦΜ και το ονοματεπώνυμο ή την επωνυμία των δικαιούμενων προσώπων και την ημερομηνία επιβολής του μέτρου για καθένα εξ αυτών.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που μία κτηνοτροφική εκμετάλλευση δικαιούται των ευεργετημάτων των άρθρων 1 και 2 της παρούσας απόφασης αλλά τα στοιχεία της δεν έχουν αποσταλεί από το Υπουργείο Αγροτικής Ανάπτυξης και Τροφίμων στη ΓΔΗΛΕΔ της ΑΑΔΕ, δύναται να αιτηθεί στην αρμόδια για την επιδίωξη της είσπραξης της οφειλής Υπηρεσία της ΑΑΔΕ τη χορήγηση των ευεργετημάτων προσκομίζοντας τα κάτωθι δικαιολογητικά:</w:t>
      </w:r>
    </w:p>
    <w:p>
      <w:pPr>
        <w:spacing w:before="240" w:after="240"/>
        <w:rPr>
          <w:lang w:val="el" w:eastAsia="el"/>
        </w:rPr>
      </w:pPr>
      <w:r>
        <w:rPr>
          <w:b/>
          <w:bCs/>
          <w:u w:val="single"/>
          <w:lang w:val="el" w:eastAsia="el"/>
        </w:rPr>
        <w:t>Α. Απόφαση λήψης μέτρων σε μολυσμένη εκμετάλλευση</w:t>
      </w:r>
    </w:p>
    <w:p>
      <w:pPr>
        <w:spacing w:before="240" w:after="240"/>
        <w:rPr>
          <w:lang w:val="el" w:eastAsia="el"/>
        </w:rPr>
      </w:pPr>
      <w:r>
        <w:rPr>
          <w:b/>
          <w:bCs/>
          <w:u w:val="single"/>
          <w:lang w:val="el" w:eastAsia="el"/>
        </w:rPr>
        <w:t>Β. Πρακτικό θανάτωσης και καταστροφής ζώων μολυσμένης εκμετάλλευσης</w:t>
      </w:r>
    </w:p>
    <w:p>
      <w:pPr>
        <w:spacing w:before="240" w:after="240"/>
        <w:rPr>
          <w:lang w:val="el" w:eastAsia="el"/>
        </w:rPr>
      </w:pPr>
      <w:r>
        <w:rPr>
          <w:b/>
          <w:bCs/>
          <w:u w:val="single"/>
          <w:lang w:val="el" w:eastAsia="el"/>
        </w:rPr>
        <w:t>βάσει των υποδειγμάτων αρ. 12 και 15 του μέρους Β΄του Παραρτήματος VI της υπ΄αρ. 1747/386028/2023 υπουργικής απόφασης «Σχέδιο αντιμετώπισης έκτακτης ανάγκης για την καταπολέμηση των ασθενειών του Παραρτήματος I του π.δ. 138/1995 (Α’ 88)» (Β΄ 7121).</w:t>
      </w:r>
    </w:p>
    <w:p>
      <w:pPr>
        <w:spacing w:before="240" w:after="240"/>
        <w:rPr>
          <w:lang w:val="el" w:eastAsia="el"/>
        </w:rPr>
      </w:pPr>
      <w:r>
        <w:rPr>
          <w:b/>
          <w:bCs/>
          <w:u w:val="single"/>
          <w:lang w:val="el" w:eastAsia="el"/>
        </w:rPr>
        <w:t>Η παρούσα απόφαση ισχύει από τη δημοσίευσή της στην Εφημερίδα της Κυβερνήσεως, εκτός αν άλλως ορίζεται στις διατάξεις αυτής.</w:t>
      </w:r>
    </w:p>
    <w:p>
      <w:pPr>
        <w:spacing w:before="240" w:after="240"/>
        <w:rPr>
          <w:lang w:val="el" w:eastAsia="el"/>
        </w:rPr>
      </w:pPr>
      <w:r>
        <w:rPr>
          <w:b/>
          <w:bCs/>
          <w:u w:val="single"/>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7"/>
        <w:gridCol w:w="4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Ο ΥΠΟΥΡΓΟΣ</w:t>
            </w:r>
          </w:p>
          <w:p>
            <w:pPr>
              <w:spacing w:before="240" w:after="240"/>
              <w:rPr>
                <w:b w:val="0"/>
                <w:bCs w:val="0"/>
                <w:i w:val="0"/>
                <w:iCs w:val="0"/>
                <w:smallCaps w:val="0"/>
                <w:color w:val="000000"/>
                <w:lang w:val="el" w:eastAsia="el"/>
              </w:rPr>
            </w:pPr>
            <w:r>
              <w:rPr>
                <w:b/>
                <w:bCs/>
                <w:i w:val="0"/>
                <w:iCs w:val="0"/>
                <w:smallCaps w:val="0"/>
                <w:color w:val="000000"/>
                <w:lang w:val="el" w:eastAsia="el"/>
              </w:rPr>
              <w:t>ΕΘΝΙΚΗΣ ΕΣΩΤΕΡΙΚΩΝ</w:t>
            </w:r>
          </w:p>
          <w:p>
            <w:pPr>
              <w:spacing w:before="240" w:after="240"/>
              <w:rPr>
                <w:b w:val="0"/>
                <w:bCs w:val="0"/>
                <w:i w:val="0"/>
                <w:iCs w:val="0"/>
                <w:smallCaps w:val="0"/>
                <w:color w:val="000000"/>
                <w:lang w:val="el" w:eastAsia="el"/>
              </w:rPr>
            </w:pPr>
            <w:r>
              <w:rPr>
                <w:b/>
                <w:bCs/>
                <w:i w:val="0"/>
                <w:iCs w:val="0"/>
                <w:smallCaps w:val="0"/>
                <w:color w:val="000000"/>
                <w:lang w:val="el" w:eastAsia="el"/>
              </w:rPr>
              <w:t>ΟΙΚΟΝΟΜΙΑΣ ΚΑΙ ΘΕΟΔΩΡΟΣ</w:t>
            </w:r>
          </w:p>
          <w:p>
            <w:pPr>
              <w:spacing w:before="240" w:after="240"/>
              <w:rPr>
                <w:b w:val="0"/>
                <w:bCs w:val="0"/>
                <w:i w:val="0"/>
                <w:iCs w:val="0"/>
                <w:smallCaps w:val="0"/>
                <w:color w:val="000000"/>
                <w:lang w:val="el" w:eastAsia="el"/>
              </w:rPr>
            </w:pPr>
            <w:r>
              <w:rPr>
                <w:b/>
                <w:bCs/>
                <w:i w:val="0"/>
                <w:iCs w:val="0"/>
                <w:smallCaps w:val="0"/>
                <w:color w:val="000000"/>
                <w:lang w:val="el" w:eastAsia="el"/>
              </w:rPr>
              <w:t>ΟΙΚΟΝΟΜΙΚΩΝ ΛΙΒΑΝΙΟΣ</w:t>
            </w:r>
          </w:p>
          <w:p>
            <w:pPr>
              <w:spacing w:before="240" w:after="240"/>
              <w:rPr>
                <w:b w:val="0"/>
                <w:bCs w:val="0"/>
                <w:i w:val="0"/>
                <w:iCs w:val="0"/>
                <w:smallCaps w:val="0"/>
                <w:color w:val="000000"/>
                <w:lang w:val="el" w:eastAsia="el"/>
              </w:rPr>
            </w:pPr>
            <w:r>
              <w:rPr>
                <w:b/>
                <w:bCs/>
                <w:i w:val="0"/>
                <w:iCs w:val="0"/>
                <w:smallCaps w:val="0"/>
                <w:color w:val="000000"/>
                <w:lang w:val="el" w:eastAsia="el"/>
              </w:rPr>
              <w:t>ΓΕΩΡΓΙΟΣ</w:t>
            </w:r>
          </w:p>
          <w:p>
            <w:pPr>
              <w:spacing w:before="240"/>
              <w:rPr>
                <w:b w:val="0"/>
                <w:bCs w:val="0"/>
                <w:i w:val="0"/>
                <w:iCs w:val="0"/>
                <w:smallCaps w:val="0"/>
                <w:color w:val="000000"/>
                <w:lang w:val="el" w:eastAsia="el"/>
              </w:rPr>
            </w:pPr>
            <w:r>
              <w:rPr>
                <w:b/>
                <w:bCs/>
                <w:i w:val="0"/>
                <w:iCs w:val="0"/>
                <w:smallCaps w:val="0"/>
                <w:color w:val="000000"/>
                <w:lang w:val="el" w:eastAsia="el"/>
              </w:rPr>
              <w:t>ΚΩΤΣΗΡΑΣ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Ο ΔΙΟΙΚΗΤΗΣ</w:t>
            </w:r>
          </w:p>
          <w:p>
            <w:pPr>
              <w:spacing w:before="240" w:after="240"/>
              <w:rPr>
                <w:b w:val="0"/>
                <w:bCs w:val="0"/>
                <w:i w:val="0"/>
                <w:iCs w:val="0"/>
                <w:smallCaps w:val="0"/>
                <w:color w:val="000000"/>
                <w:lang w:val="el" w:eastAsia="el"/>
              </w:rPr>
            </w:pPr>
            <w:r>
              <w:rPr>
                <w:b/>
                <w:bCs/>
                <w:i w:val="0"/>
                <w:iCs w:val="0"/>
                <w:smallCaps w:val="0"/>
                <w:color w:val="000000"/>
                <w:lang w:val="el" w:eastAsia="el"/>
              </w:rPr>
              <w:t>ΑΓΡΟΤΙΚΗΣ ΤΗΣ ΑΑΔΕ</w:t>
            </w:r>
          </w:p>
          <w:p>
            <w:pPr>
              <w:spacing w:before="240" w:after="240"/>
              <w:rPr>
                <w:b w:val="0"/>
                <w:bCs w:val="0"/>
                <w:i w:val="0"/>
                <w:iCs w:val="0"/>
                <w:smallCaps w:val="0"/>
                <w:color w:val="000000"/>
                <w:lang w:val="el" w:eastAsia="el"/>
              </w:rPr>
            </w:pPr>
            <w:r>
              <w:rPr>
                <w:b/>
                <w:bCs/>
                <w:i w:val="0"/>
                <w:iCs w:val="0"/>
                <w:smallCaps w:val="0"/>
                <w:color w:val="000000"/>
                <w:lang w:val="el" w:eastAsia="el"/>
              </w:rPr>
              <w:t>ΑΝΑΠΤΥΞΗΣ ΚΑΙ ΠΙΤΣΙΛΗΣ</w:t>
            </w:r>
          </w:p>
          <w:p>
            <w:pPr>
              <w:spacing w:before="240" w:after="240"/>
              <w:rPr>
                <w:b w:val="0"/>
                <w:bCs w:val="0"/>
                <w:i w:val="0"/>
                <w:iCs w:val="0"/>
                <w:smallCaps w:val="0"/>
                <w:color w:val="000000"/>
                <w:lang w:val="el" w:eastAsia="el"/>
              </w:rPr>
            </w:pPr>
            <w:r>
              <w:rPr>
                <w:b/>
                <w:bCs/>
                <w:i w:val="0"/>
                <w:iCs w:val="0"/>
                <w:smallCaps w:val="0"/>
                <w:color w:val="000000"/>
                <w:lang w:val="el" w:eastAsia="el"/>
              </w:rPr>
              <w:t>ΤΡΟΦΙΜΩΝ ΓΕΩΡΓΙΟΣ</w:t>
            </w:r>
          </w:p>
          <w:p>
            <w:pPr>
              <w:spacing w:before="240" w:after="240"/>
              <w:rPr>
                <w:b w:val="0"/>
                <w:bCs w:val="0"/>
                <w:i w:val="0"/>
                <w:iCs w:val="0"/>
                <w:smallCaps w:val="0"/>
                <w:color w:val="000000"/>
                <w:lang w:val="el" w:eastAsia="el"/>
              </w:rPr>
            </w:pPr>
            <w:r>
              <w:rPr>
                <w:b/>
                <w:bCs/>
                <w:i w:val="0"/>
                <w:iCs w:val="0"/>
                <w:smallCaps w:val="0"/>
                <w:color w:val="000000"/>
                <w:lang w:val="el" w:eastAsia="el"/>
              </w:rPr>
              <w:t>ΧΡΗΣΤΟΣ</w:t>
            </w:r>
          </w:p>
          <w:p>
            <w:pPr>
              <w:spacing w:before="240"/>
              <w:rPr>
                <w:b w:val="0"/>
                <w:bCs w:val="0"/>
                <w:i w:val="0"/>
                <w:iCs w:val="0"/>
                <w:smallCaps w:val="0"/>
                <w:color w:val="000000"/>
                <w:lang w:val="el" w:eastAsia="el"/>
              </w:rPr>
            </w:pPr>
            <w:r>
              <w:rPr>
                <w:b/>
                <w:bCs/>
                <w:i w:val="0"/>
                <w:iCs w:val="0"/>
                <w:smallCaps w:val="0"/>
                <w:color w:val="000000"/>
                <w:lang w:val="el" w:eastAsia="el"/>
              </w:rPr>
              <w:t>ΚΕΛΛΑΣ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Υπουργού Αγροτικής Ανάπτυξης και Τροφίμων</w:t>
      </w:r>
    </w:p>
    <w:p>
      <w:pPr>
        <w:spacing w:before="240" w:after="240"/>
        <w:rPr>
          <w:lang w:val="el" w:eastAsia="el"/>
        </w:rPr>
      </w:pPr>
      <w:r>
        <w:rPr>
          <w:u w:val="single"/>
          <w:lang w:val="el" w:eastAsia="el"/>
        </w:rPr>
        <w:t xml:space="preserve">4) </w:t>
      </w:r>
      <w:r>
        <w:rPr>
          <w:b/>
          <w:bCs/>
          <w:u w:val="single"/>
          <w:lang w:val="el" w:eastAsia="el"/>
        </w:rPr>
        <w:t>Γραφείο Υφυπουργού Αγροτικής Ανάπτυξης και Τροφίμων</w:t>
      </w:r>
    </w:p>
    <w:p>
      <w:pPr>
        <w:spacing w:before="240" w:after="240"/>
        <w:rPr>
          <w:lang w:val="el" w:eastAsia="el"/>
        </w:rPr>
      </w:pPr>
      <w:r>
        <w:rPr>
          <w:u w:val="single"/>
          <w:lang w:val="el" w:eastAsia="el"/>
        </w:rPr>
        <w:t xml:space="preserve">5) </w:t>
      </w:r>
      <w:r>
        <w:rPr>
          <w:b/>
          <w:bCs/>
          <w:u w:val="single"/>
          <w:lang w:val="el" w:eastAsia="el"/>
        </w:rPr>
        <w:t>Γραφείο Υπουργού Εσωτερικών</w:t>
      </w:r>
    </w:p>
    <w:p>
      <w:pPr>
        <w:spacing w:before="240" w:after="240"/>
        <w:rPr>
          <w:lang w:val="el" w:eastAsia="el"/>
        </w:rPr>
      </w:pPr>
      <w:r>
        <w:rPr>
          <w:u w:val="single"/>
          <w:lang w:val="el" w:eastAsia="el"/>
        </w:rPr>
        <w:t xml:space="preserve">6)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7)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8)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