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Μο</w:t>
      </w:r>
      <w:r>
        <w:rPr>
          <w:lang w:val="el" w:eastAsia="el"/>
        </w:rPr>
        <w:t>σχ</w:t>
      </w:r>
      <w:r>
        <w:rPr>
          <w:lang w:val="el" w:eastAsia="el"/>
        </w:rPr>
        <w:t>άτο</w:t>
      </w:r>
      <w:r>
        <w:rPr>
          <w:lang w:val="el" w:eastAsia="el"/>
        </w:rPr>
        <w:t xml:space="preserve">, </w:t>
      </w:r>
      <w:r>
        <w:rPr>
          <w:lang w:val="el" w:eastAsia="el"/>
        </w:rPr>
        <w:t>24/12/2025</w:t>
      </w:r>
    </w:p>
    <w:p>
      <w:pPr>
        <w:pStyle w:val="Title"/>
        <w:spacing w:before="120" w:after="360"/>
        <w:rPr>
          <w:lang w:val="el" w:eastAsia="el"/>
        </w:rPr>
      </w:pPr>
      <w:r>
        <w:rPr>
          <w:lang w:val="el" w:eastAsia="el"/>
        </w:rPr>
        <w:t>Α</w:t>
      </w:r>
      <w:r>
        <w:rPr>
          <w:lang w:val="el" w:eastAsia="el"/>
        </w:rPr>
        <w:t xml:space="preserve">. Π.: </w:t>
      </w:r>
      <w:r>
        <w:rPr>
          <w:lang w:val="el" w:eastAsia="el"/>
        </w:rPr>
        <w:t>Ει</w:t>
      </w:r>
      <w:r>
        <w:rPr>
          <w:lang w:val="el" w:eastAsia="el"/>
        </w:rPr>
        <w:t>σ</w:t>
      </w:r>
      <w:r>
        <w:rPr>
          <w:lang w:val="el" w:eastAsia="el"/>
        </w:rPr>
        <w:t>ε</w:t>
      </w:r>
      <w:r>
        <w:rPr>
          <w:lang w:val="el" w:eastAsia="el"/>
        </w:rPr>
        <w:t xml:space="preserve">ρχ. </w:t>
      </w:r>
      <w:r>
        <w:rPr>
          <w:lang w:val="el" w:eastAsia="el"/>
        </w:rPr>
        <w:t>Α</w:t>
      </w:r>
      <w:r>
        <w:rPr>
          <w:lang w:val="el" w:eastAsia="el"/>
        </w:rPr>
        <w:t>1191</w:t>
      </w:r>
    </w:p>
    <w:p>
      <w:pPr>
        <w:pStyle w:val="Title"/>
        <w:spacing w:before="120" w:after="360"/>
        <w:rPr>
          <w:lang w:val="el" w:eastAsia="el"/>
        </w:rPr>
      </w:pPr>
      <w:r>
        <w:rPr>
          <w:lang w:val="el" w:eastAsia="el"/>
        </w:rPr>
        <w:t>Α</w:t>
      </w:r>
      <w:r>
        <w:rPr>
          <w:lang w:val="el" w:eastAsia="el"/>
        </w:rPr>
        <w:t xml:space="preserve">. Π. </w:t>
      </w:r>
      <w:r>
        <w:rPr>
          <w:lang w:val="el" w:eastAsia="el"/>
        </w:rPr>
        <w:t>Α</w:t>
      </w:r>
      <w:r>
        <w:rPr>
          <w:lang w:val="el" w:eastAsia="el"/>
        </w:rPr>
        <w:t>π</w:t>
      </w:r>
      <w:r>
        <w:rPr>
          <w:lang w:val="el" w:eastAsia="el"/>
        </w:rPr>
        <w:t>ο</w:t>
      </w:r>
      <w:r>
        <w:rPr>
          <w:lang w:val="el" w:eastAsia="el"/>
        </w:rPr>
        <w:t>σ</w:t>
      </w:r>
      <w:r>
        <w:rPr>
          <w:lang w:val="el" w:eastAsia="el"/>
        </w:rPr>
        <w:t>το</w:t>
      </w:r>
      <w:r>
        <w:rPr>
          <w:lang w:val="el" w:eastAsia="el"/>
        </w:rPr>
        <w:t>λ</w:t>
      </w:r>
      <w:r>
        <w:rPr>
          <w:lang w:val="el" w:eastAsia="el"/>
        </w:rPr>
        <w:t>έ</w:t>
      </w:r>
      <w:r>
        <w:rPr>
          <w:lang w:val="el" w:eastAsia="el"/>
        </w:rPr>
        <w:t xml:space="preserve">α: </w:t>
      </w:r>
      <w:r>
        <w:rPr>
          <w:lang w:val="el" w:eastAsia="el"/>
        </w:rPr>
        <w:t>Α</w:t>
      </w:r>
      <w:r>
        <w:rPr>
          <w:lang w:val="el" w:eastAsia="el"/>
        </w:rPr>
        <w:t xml:space="preserve">1191 </w:t>
      </w:r>
      <w:r>
        <w:rPr>
          <w:lang w:val="el" w:eastAsia="el"/>
        </w:rPr>
        <w:t>Η</w:t>
      </w:r>
      <w:r>
        <w:rPr>
          <w:lang w:val="el" w:eastAsia="el"/>
        </w:rPr>
        <w:t>μ/</w:t>
      </w:r>
      <w:r>
        <w:rPr>
          <w:lang w:val="el" w:eastAsia="el"/>
        </w:rPr>
        <w:t>νί</w:t>
      </w:r>
      <w:r>
        <w:rPr>
          <w:lang w:val="el" w:eastAsia="el"/>
        </w:rPr>
        <w:t xml:space="preserve">α </w:t>
      </w:r>
      <w:r>
        <w:rPr>
          <w:lang w:val="el" w:eastAsia="el"/>
        </w:rPr>
        <w:t>Α</w:t>
      </w:r>
      <w:r>
        <w:rPr>
          <w:lang w:val="el" w:eastAsia="el"/>
        </w:rPr>
        <w:t>π</w:t>
      </w:r>
      <w:r>
        <w:rPr>
          <w:lang w:val="el" w:eastAsia="el"/>
        </w:rPr>
        <w:t>ο</w:t>
      </w:r>
      <w:r>
        <w:rPr>
          <w:lang w:val="el" w:eastAsia="el"/>
        </w:rPr>
        <w:t>σ</w:t>
      </w:r>
      <w:r>
        <w:rPr>
          <w:lang w:val="el" w:eastAsia="el"/>
        </w:rPr>
        <w:t>το</w:t>
      </w:r>
      <w:r>
        <w:rPr>
          <w:lang w:val="el" w:eastAsia="el"/>
        </w:rPr>
        <w:t>λ</w:t>
      </w:r>
      <w:r>
        <w:rPr>
          <w:lang w:val="el" w:eastAsia="el"/>
        </w:rPr>
        <w:t>ής</w:t>
      </w:r>
      <w:r>
        <w:rPr>
          <w:lang w:val="el" w:eastAsia="el"/>
        </w:rPr>
        <w:t xml:space="preserve">: </w:t>
      </w:r>
      <w:r>
        <w:rPr>
          <w:lang w:val="el" w:eastAsia="el"/>
        </w:rPr>
        <w:t>24/12/2025</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Β) ΓΕΝΙΚΗ ΔΙΕΥΘΥΝΣΗ ΗΛΕΚΤΡΟΝΙΚΗΣ ΔΙΑΚΥΒΕΡΝΗΣΗΣ</w:t>
      </w:r>
    </w:p>
    <w:p>
      <w:pPr>
        <w:pStyle w:val="PreambelText"/>
        <w:spacing w:before="240" w:after="240"/>
        <w:rPr>
          <w:lang w:val="el" w:eastAsia="el"/>
        </w:rPr>
      </w:pPr>
      <w:r>
        <w:rPr>
          <w:lang w:val="el" w:eastAsia="el"/>
        </w:rPr>
        <w:t xml:space="preserve">1) </w:t>
      </w:r>
      <w:r>
        <w:rPr>
          <w:b/>
          <w:bCs/>
          <w:lang w:val="el" w:eastAsia="el"/>
        </w:rPr>
        <w:t>ΔΙΕΥΘΥΝΣΗ ΑΝΑΠΤΥΞΗΣ ΦΟΡΟΛΟΓΙΚΩΝ ΕΦΑΡΜΟΓΩΝ ΤΜΗΜΑ Β’</w:t>
      </w:r>
    </w:p>
    <w:p>
      <w:pPr>
        <w:pStyle w:val="PreambelText"/>
        <w:spacing w:before="240" w:after="240"/>
        <w:rPr>
          <w:lang w:val="el" w:eastAsia="el"/>
        </w:rPr>
      </w:pPr>
      <w:r>
        <w:rPr>
          <w:lang w:val="el" w:eastAsia="el"/>
        </w:rPr>
        <w:t xml:space="preserve">2) </w:t>
      </w:r>
      <w:r>
        <w:rPr>
          <w:b/>
          <w:bCs/>
          <w:lang w:val="el" w:eastAsia="el"/>
        </w:rPr>
        <w:t>ΔΙΕΥΘΥΝΣΗ ΕΠΙΧΕΙΡΗΣΙΑΚΩΝ ΔΙΑΔΙΚΑΣΙΩΝ ΤΜΗΜΑ Α΄</w:t>
      </w:r>
    </w:p>
    <w:p>
      <w:pPr>
        <w:pStyle w:val="PreambelText"/>
        <w:spacing w:before="240" w:after="240"/>
        <w:rPr>
          <w:lang w:val="el" w:eastAsia="el"/>
        </w:rPr>
      </w:pPr>
      <w:r>
        <w:rPr>
          <w:b/>
          <w:bCs/>
          <w:lang w:val="el" w:eastAsia="el"/>
        </w:rPr>
        <w:t>Ταχ. Δ/νση : Πειραιώς 72 και Πύργου</w:t>
      </w:r>
    </w:p>
    <w:p>
      <w:pPr>
        <w:pStyle w:val="PreambelText"/>
        <w:spacing w:before="240" w:after="240"/>
        <w:rPr>
          <w:lang w:val="el" w:eastAsia="el"/>
        </w:rPr>
      </w:pPr>
      <w:r>
        <w:rPr>
          <w:b/>
          <w:bCs/>
          <w:lang w:val="el" w:eastAsia="el"/>
        </w:rPr>
        <w:t>Ταχ. Κώδικας : 183 46 - ΜΟΣΧΑΤΟ</w:t>
      </w:r>
    </w:p>
    <w:p>
      <w:pPr>
        <w:pStyle w:val="PreambelText"/>
        <w:spacing w:before="240" w:after="240"/>
        <w:rPr>
          <w:lang w:val="el" w:eastAsia="el"/>
        </w:rPr>
      </w:pPr>
      <w:r>
        <w:rPr>
          <w:b/>
          <w:bCs/>
          <w:lang w:val="el" w:eastAsia="el"/>
        </w:rPr>
        <w:t>ΘΕΜΑ : Τροποποίηση της υπό στοιχεία Α. 1110/5.8.2022 απόφασης του Διοικητή της Ανεξάρτητης Αρχής Δημοσίων Εσόδων (Α.Α.Δ.Ε.) «Ηλεκτρονική υποβολή δήλωσης φόρου μεταβίβασης ακινήτων – “Δήλωση Φ.Μ.Α.”» (Β΄4334).</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ν. 5104/2024 «Κώδικας Φορολογικής Διαδικασίας και άλλες διατάξεις» (Α΄58, εφεξής ΚΦΔ) και ειδικότερα των άρθρων 22, 23 και της παρ. 26 του άρθρου 83 αυτού,</w:t>
      </w:r>
    </w:p>
    <w:p>
      <w:pPr>
        <w:pStyle w:val="StructureList1"/>
        <w:spacing w:before="120" w:after="0"/>
        <w:rPr>
          <w:lang w:val="el" w:eastAsia="el"/>
        </w:rPr>
      </w:pPr>
      <w:r>
        <w:rPr>
          <w:lang w:val="el" w:eastAsia="el"/>
        </w:rPr>
        <w:t>β)</w:t>
      </w:r>
      <w:r>
        <w:rPr>
          <w:lang w:val="en" w:eastAsia="en"/>
        </w:rPr>
        <w:tab/>
      </w:r>
      <w:r>
        <w:rPr>
          <w:b/>
          <w:bCs/>
          <w:lang w:val="el" w:eastAsia="el"/>
        </w:rPr>
        <w:t>του ν. 5219/2025 «Κώδικας Φορολογίας Περιουσίας» (Α΄ 130) και ειδικότερα του άρθρου 28 και της παρ. 8 του άρθρου 123 αυτού,</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 και</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Δ. ΟΡΓ. Α 1125859 ΕΞ 2020/23-10-2020 απόφασης του Διοικητή της Ανεξάρτητης Αρχής Δημοσίων Εσόδων «Οργανισμός της Ανεξάρτητης Αρχής Δημοσίων Εσόδων (Α.Α.Δ.Ε.)» (Β΄4738).</w:t>
      </w:r>
    </w:p>
    <w:p>
      <w:pPr>
        <w:pStyle w:val="PreambelText"/>
        <w:spacing w:before="240" w:after="240"/>
        <w:rPr>
          <w:lang w:val="el" w:eastAsia="el"/>
        </w:rPr>
      </w:pPr>
      <w:r>
        <w:rPr>
          <w:lang w:val="el" w:eastAsia="el"/>
        </w:rPr>
        <w:t xml:space="preserve">2.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την υπ’ αρ. 39/3/30.11.2017 (Υ.Ο.Δ.Δ. 689) απόφαση του Συμβουλίου Διοίκησης της Α.Α.Δ.Ε, την υπό στοιχεία 5294 ΕΞ 2020/17.1.2020 (Υ.Ο.Δ.Δ. 27) απόφαση του Υπουργού Οικονομικών καθώς και την υπό στοιχεία 7608 ΕΞ 2025/17-01-2025 απόφαση του Υπουργού Εθνικής Οικονομίας και Οικονομικών με θέμα «Ανανέωση της θητείας του Διοικητή της Ανεξάρτητης Αρχής Δημοσίων Εσόδων» (Υ.Ο.Δ.Δ. 11).</w:t>
      </w:r>
    </w:p>
    <w:p>
      <w:pPr>
        <w:pStyle w:val="PreambelText"/>
        <w:spacing w:before="240" w:after="240"/>
        <w:rPr>
          <w:lang w:val="el" w:eastAsia="el"/>
        </w:rPr>
      </w:pPr>
      <w:r>
        <w:rPr>
          <w:lang w:val="el" w:eastAsia="el"/>
        </w:rPr>
        <w:t xml:space="preserve">3. </w:t>
      </w:r>
      <w:r>
        <w:rPr>
          <w:b/>
          <w:bCs/>
          <w:lang w:val="el" w:eastAsia="el"/>
        </w:rPr>
        <w:t>Την υπό στοιχεία Α. 1110/5.8.2022 απόφαση του Διοικητή της ΑΑΔΕ «Ηλεκτρονική υποβολή δήλωσης φόρου μεταβίβασης ακινήτων- “Δήλωση Φ.Μ.Α.”» (Β’ 4334).</w:t>
      </w:r>
    </w:p>
    <w:p>
      <w:pPr>
        <w:pStyle w:val="PreambelText"/>
        <w:spacing w:before="240" w:after="240"/>
        <w:rPr>
          <w:lang w:val="el" w:eastAsia="el"/>
        </w:rPr>
      </w:pPr>
      <w:r>
        <w:rPr>
          <w:lang w:val="el" w:eastAsia="el"/>
        </w:rPr>
        <w:t xml:space="preserve">4. </w:t>
      </w:r>
      <w:r>
        <w:rPr>
          <w:b/>
          <w:bCs/>
          <w:lang w:val="el" w:eastAsia="el"/>
        </w:rPr>
        <w:t>Την ανάγκη καθορισμού του τρόπου και περιεχομένου της υποβολής εμπρόθεσμων τροποποιητικών δηλώσεων φόρου μεταβίβασης ακινήτων που εντάσσονται στο αντικειμενικό σύστημα προσδιορισμού αξίας για τη σύνταξη συμβολαιογραφικών πράξεων σύστασης, τροποποίησης και κατάργησης σύστασης οριζοντίων ή κάθετων ιδιοκτησιών, μέσω της εφαρμογής myPROPERTY της ΑΑΔΕ.</w:t>
      </w:r>
    </w:p>
    <w:p>
      <w:pPr>
        <w:pStyle w:val="PreambelText"/>
        <w:spacing w:before="240" w:after="240"/>
        <w:rPr>
          <w:lang w:val="el" w:eastAsia="el"/>
        </w:rPr>
      </w:pPr>
      <w:r>
        <w:rPr>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PreambelText"/>
        <w:spacing w:before="240" w:after="240"/>
        <w:rPr>
          <w:lang w:val="el" w:eastAsia="el"/>
        </w:rPr>
      </w:pPr>
      <w:r>
        <w:rPr>
          <w:lang w:val="el" w:eastAsia="el"/>
        </w:rPr>
        <w:t xml:space="preserve">6. </w:t>
      </w:r>
      <w:r>
        <w:rPr>
          <w:b/>
          <w:bCs/>
          <w:lang w:val="el" w:eastAsia="el"/>
        </w:rPr>
        <w:t>Το γεγονός ότι με τις διατάξεις της παρούσας τροποποιείται η διοικητική διαδικασία με επίσημο τίτλο «Ηλεκτρονική Δήλωση Φόρου Μεταβίβασης Ακινήτων» και Μοναδικό Αριθμό Καταχώρισης (Μ.Α.Κ.) στο ΕΜΔΔ «Μίτος» 898734, 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Τροποποιούμε το άρθρο μόνο της υπό στοιχεία Α. 1110/2022 απόφασης του Διοικητή της ΑΑΔΕ «Ηλεκτρονική υποβολή δήλωσης φόρου μεταβίβασης ακινήτων –“Δήλωση Φ.Μ.Α.”», ως εξής:</w:t>
      </w:r>
    </w:p>
    <w:p>
      <w:pPr>
        <w:pStyle w:val="MainText"/>
        <w:spacing w:before="120" w:after="0"/>
        <w:rPr>
          <w:lang w:val="el" w:eastAsia="el"/>
        </w:rPr>
      </w:pPr>
      <w:r>
        <w:rPr>
          <w:b/>
          <w:bCs/>
          <w:lang w:val="el" w:eastAsia="el"/>
        </w:rPr>
        <w:t>1.</w:t>
      </w:r>
      <w:r>
        <w:rPr>
          <w:lang w:val="el" w:eastAsia="el"/>
        </w:rPr>
        <w:t xml:space="preserve"> </w:t>
      </w:r>
      <w:r>
        <w:rPr>
          <w:b/>
          <w:bCs/>
          <w:lang w:val="el" w:eastAsia="el"/>
        </w:rPr>
        <w:t>Στην περ. Δ. της παρ. 1 μετά τη λέξη «ε)» προστίθεται η λέξη «ζ)» και η περ. Δ. διαμορφώνεται ως εξής:</w:t>
      </w:r>
    </w:p>
    <w:p>
      <w:pPr>
        <w:spacing w:before="240" w:after="240"/>
        <w:rPr>
          <w:lang w:val="el" w:eastAsia="el"/>
        </w:rPr>
      </w:pPr>
      <w:r>
        <w:rPr>
          <w:b/>
          <w:bCs/>
          <w:lang w:val="el" w:eastAsia="el"/>
        </w:rPr>
        <w:t>«Δ. Οι τροποποιητικές εμπρόθεσμες δηλώσεις φόρου μεταβίβασης ακινήτων, που βρίσκονται σε περιοχές στις οποίες ισχύει το σύστημα αντικειμενικού προσδιορισμού της αξίας, εφόσον η αρχική δήλωση έχει υποβληθεί μέσω της εφαρμογής myPROPERTY της Α.Α.Δ.Ε., δεν έχει συνταχθεί το σχετικό συμβολαιογραφικό έγγραφο και αφορούν τις υποπερ. α), β), γ), ε) και ζ) της περ. Α.».</w:t>
      </w:r>
    </w:p>
    <w:p>
      <w:pPr>
        <w:pStyle w:val="MainText"/>
        <w:spacing w:before="120" w:after="0"/>
        <w:rPr>
          <w:lang w:val="el" w:eastAsia="el"/>
        </w:rPr>
      </w:pPr>
      <w:r>
        <w:rPr>
          <w:b/>
          <w:bCs/>
          <w:lang w:val="el" w:eastAsia="el"/>
        </w:rPr>
        <w:t>2.</w:t>
      </w:r>
      <w:r>
        <w:rPr>
          <w:lang w:val="el" w:eastAsia="el"/>
        </w:rPr>
        <w:t xml:space="preserve"> </w:t>
      </w:r>
      <w:r>
        <w:rPr>
          <w:b/>
          <w:bCs/>
          <w:lang w:val="el" w:eastAsia="el"/>
        </w:rPr>
        <w:t>Στο τέλος της παρ. 2 προστίθεται εδάφιο και η παρ. 2 διαμορφώνεται ως εξής: «2. Συντάσσεται μία δήλωση ανά αγοραστή, ανεξαρτήτως του αριθμού των πωλητών και των μεταβιβαζομένων ακινήτων. Στην υποπερ. ζ) της περ. Α. της παρ. 1 συντάσσεται μία δήλωση μονομερής με έναν συμβαλλόμενο ή μη μονομερής με την καταχώρηση των στοιχείων όλων των συμβαλλομένων και την καταχώρηση των στοιχείων του εργολάβου, εφόσον συμπράττει στην πράξη ως εκ τρίτου συμβαλλόμενος. Το προηγούμενο εδάφιο εφαρμόζεται και στις τροποποιητικές εμπρόθεσμες δηλώσεις μεταβίβασης ακινήτων της υποπερ. ζ) της περ. Α. της παρ. 1».</w:t>
      </w:r>
    </w:p>
    <w:p>
      <w:pPr>
        <w:pStyle w:val="MainText"/>
        <w:spacing w:before="120" w:after="0"/>
        <w:rPr>
          <w:lang w:val="el" w:eastAsia="el"/>
        </w:rPr>
      </w:pPr>
      <w:r>
        <w:rPr>
          <w:b/>
          <w:bCs/>
          <w:lang w:val="el" w:eastAsia="el"/>
        </w:rPr>
        <w:t>3.</w:t>
      </w:r>
      <w:r>
        <w:rPr>
          <w:lang w:val="el" w:eastAsia="el"/>
        </w:rPr>
        <w:t xml:space="preserve"> </w:t>
      </w:r>
      <w:r>
        <w:rPr>
          <w:b/>
          <w:bCs/>
          <w:lang w:val="el" w:eastAsia="el"/>
        </w:rPr>
        <w:t>Στο τέλος του δεύτερου εδαφίου της παρ. 6 μετά τις λέξεις «παρ. 1» προστίθεται η φράση «και τις τροποποιητικές εμπρόθεσμες δηλώσεις μεταβίβασης ακινήτων της υποπερ. ζ) της περ. Α. της παρ. 1.» και η παρ. 6 διαμορφώνεται ως εξής:</w:t>
      </w:r>
    </w:p>
    <w:p>
      <w:pPr>
        <w:spacing w:before="240" w:after="240"/>
        <w:rPr>
          <w:lang w:val="el" w:eastAsia="el"/>
        </w:rPr>
      </w:pPr>
      <w:r>
        <w:rPr>
          <w:b/>
          <w:bCs/>
          <w:lang w:val="el" w:eastAsia="el"/>
        </w:rPr>
        <w:t>«6. Κατά την υποβολή της δήλωσης Φ.Μ.Α. συμπληρώνονται, κατά περίπτωση, όλα τα πεδία των συνημμένων υποδειγμάτων 1 και 3, που αποτελούν αναπόσπαστο μέρος της παρούσας και συνυποβάλλονται τα νόμιμα δικαιολογητικά. Με τη δήλωση υπολογίζονται από τον</w:t>
      </w:r>
    </w:p>
    <w:p>
      <w:pPr>
        <w:spacing w:before="240" w:after="240"/>
        <w:rPr>
          <w:lang w:val="el" w:eastAsia="el"/>
        </w:rPr>
      </w:pPr>
      <w:r>
        <w:rPr>
          <w:b/>
          <w:bCs/>
          <w:lang w:val="el" w:eastAsia="el"/>
        </w:rPr>
        <w:t>συμβολαιογράφο η αξία των ακινήτων, με τη συμπλήρωση των φύλλων υπολογισμού, των απαλλαγών και του οφειλόμενου φόρου, με εξαίρεση τη δήλωση της υποπερ. ζ) της περ. Α. της παρ. 1 και τις τροποποιητικές εμπρόθεσμες δηλώσεις μεταβίβασης ακινήτων της υποπερ. ζ) της περ. Α. της παρ. 1».</w:t>
      </w:r>
    </w:p>
    <w:p>
      <w:pPr>
        <w:pStyle w:val="MainText"/>
        <w:spacing w:before="120" w:after="0"/>
        <w:rPr>
          <w:lang w:val="el" w:eastAsia="el"/>
        </w:rPr>
      </w:pPr>
      <w:r>
        <w:rPr>
          <w:b/>
          <w:bCs/>
          <w:lang w:val="el" w:eastAsia="el"/>
        </w:rPr>
        <w:t>4.</w:t>
      </w:r>
      <w:r>
        <w:rPr>
          <w:lang w:val="el" w:eastAsia="el"/>
        </w:rPr>
        <w:t xml:space="preserve"> </w:t>
      </w:r>
      <w:r>
        <w:rPr>
          <w:b/>
          <w:bCs/>
          <w:lang w:val="el" w:eastAsia="el"/>
        </w:rPr>
        <w:t>Στο τέλος του δεύτερου εδαφίου της παρ. 10 μετά τις λέξεις «παρ. 1» προστίθεται η φράση «και των τροποποιητικών εμπρόθεσμων δηλώσεων μεταβίβασης ακινήτων της υποπερ. ζ) της περ. Α. της παρ. 1.» και η παρ. 10 διαμορφώνεται ως εξής:</w:t>
      </w:r>
    </w:p>
    <w:p>
      <w:pPr>
        <w:spacing w:before="240" w:after="240"/>
        <w:rPr>
          <w:lang w:val="el" w:eastAsia="el"/>
        </w:rPr>
      </w:pPr>
      <w:r>
        <w:rPr>
          <w:b/>
          <w:bCs/>
          <w:lang w:val="el" w:eastAsia="el"/>
        </w:rPr>
        <w:t>«10. Η συνημμένη πράξη διοικητικού προσδιορισμού του φόρου του υποδείγματος 2 εκδίδεται σε κάθε περίπτωση υποβολής δήλωσης φόρου μεταβίβασης είτε αυτή υποβάλλεται ψηφιακά είτε σε έντυπη μορφή. Η συνημμένη πράξη διοικητικού προσδιορισμού του φόρου του υποδείγματος 4 εκδίδεται ψηφιακά κατά την υποβολή της δήλωσης της υποπερ. ζ) της περ. Α. της παρ. 1 και των τροποποιητικών εμπρόθεσμων δηλώσεων μεταβίβασης ακινήτων της υποπερ. ζ) της περ. Α. της παρ. 1».</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lang w:val="el" w:eastAsia="el"/>
        </w:rPr>
        <w:t xml:space="preserve"> </w:t>
      </w:r>
      <w:r>
        <w:rPr>
          <w:b/>
          <w:bCs/>
          <w:lang w:val="el" w:eastAsia="el"/>
        </w:rPr>
        <w:t>Η απόφαση ισχύει πέντε (5) ημέρες από τη δημοσίευσή της στην Εφημερίδα της Κυβερνήσεως.</w:t>
      </w:r>
    </w:p>
    <w:p>
      <w:pPr>
        <w:spacing w:before="240" w:after="240"/>
        <w:rPr>
          <w:lang w:val="el" w:eastAsia="el"/>
        </w:rPr>
      </w:pPr>
      <w:r>
        <w:rPr>
          <w:lang w:val="el" w:eastAsia="el"/>
        </w:rPr>
        <w:t xml:space="preserve">2. </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Ι. ΑΠΟΔΕΚΤΕΣ ΓΙΑ ΑΜΕΣΗ ΕΝΕΡΓΕΙΑ</w:t>
      </w:r>
    </w:p>
    <w:p>
      <w:pPr>
        <w:spacing w:before="240" w:after="240"/>
        <w:rPr>
          <w:lang w:val="el" w:eastAsia="el"/>
        </w:rPr>
      </w:pPr>
      <w:r>
        <w:rPr>
          <w:b/>
          <w:bCs/>
          <w:lang w:val="el" w:eastAsia="el"/>
        </w:rPr>
        <w:t>Εθνικό Τυπογραφείο (για δημοσίευση)</w:t>
      </w:r>
    </w:p>
    <w:p>
      <w:pPr>
        <w:spacing w:before="240" w:after="240"/>
        <w:rPr>
          <w:lang w:val="el" w:eastAsia="el"/>
        </w:rPr>
      </w:pPr>
      <w:r>
        <w:rPr>
          <w:b/>
          <w:bCs/>
          <w:lang w:val="el" w:eastAsia="el"/>
        </w:rPr>
        <w:t>ΙI. ΑΠΟΔΕΚΤΕΣ ΓΙΑ ΕΝΕΡΓΕΙΑ (ΜΕΤΑ ΤΗ ΔΗΜΟΣΙΕΥΣΗ ΣΤΗΝ ΕΦΗΜΕΡΙΔΑ ΤΗΣ ΚΥΒΕΡΝΗΣΕΩΣ)</w:t>
      </w:r>
    </w:p>
    <w:p>
      <w:pPr>
        <w:spacing w:before="240" w:after="240"/>
        <w:rPr>
          <w:lang w:val="el" w:eastAsia="el"/>
        </w:rPr>
      </w:pPr>
      <w:r>
        <w:rPr>
          <w:lang w:val="el" w:eastAsia="el"/>
        </w:rPr>
        <w:t xml:space="preserve">1. </w:t>
      </w:r>
      <w:r>
        <w:rPr>
          <w:b/>
          <w:bCs/>
          <w:lang w:val="el" w:eastAsia="el"/>
        </w:rPr>
        <w:t>Αποδέκτες Πίνακα Γ΄(περιπτώσεις 6 και 9)</w:t>
      </w:r>
    </w:p>
    <w:p>
      <w:pPr>
        <w:spacing w:before="240" w:after="240"/>
        <w:rPr>
          <w:lang w:val="el" w:eastAsia="el"/>
        </w:rPr>
      </w:pPr>
      <w:r>
        <w:rPr>
          <w:lang w:val="el" w:eastAsia="el"/>
        </w:rPr>
        <w:t xml:space="preserve">2. </w:t>
      </w:r>
      <w:r>
        <w:rPr>
          <w:b/>
          <w:bCs/>
          <w:lang w:val="el" w:eastAsia="el"/>
        </w:rPr>
        <w:t>Γενική Διεύθυνση Ηλεκτρονικής Διακυβέρνησης (Γ.Δ.ΗΛΕ.Δ.)</w:t>
      </w:r>
    </w:p>
    <w:p>
      <w:pPr>
        <w:spacing w:before="240" w:after="240"/>
        <w:rPr>
          <w:lang w:val="el" w:eastAsia="el"/>
        </w:rPr>
      </w:pPr>
      <w:r>
        <w:rPr>
          <w:lang w:val="el" w:eastAsia="el"/>
        </w:rPr>
        <w:t xml:space="preserve">3. </w:t>
      </w:r>
      <w:r>
        <w:rPr>
          <w:b/>
          <w:bCs/>
          <w:lang w:val="el" w:eastAsia="el"/>
        </w:rPr>
        <w:t>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lang w:val="el" w:eastAsia="el"/>
        </w:rPr>
        <w:t>ΙΙΙ.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w:t>
      </w:r>
    </w:p>
    <w:p>
      <w:pPr>
        <w:spacing w:before="240" w:after="240"/>
        <w:rPr>
          <w:lang w:val="el" w:eastAsia="el"/>
        </w:rPr>
      </w:pPr>
      <w:r>
        <w:rPr>
          <w:lang w:val="el" w:eastAsia="el"/>
        </w:rPr>
        <w:t xml:space="preserve">2. </w:t>
      </w:r>
      <w:r>
        <w:rPr>
          <w:b/>
          <w:bCs/>
          <w:lang w:val="el" w:eastAsia="el"/>
        </w:rPr>
        <w:t>Γραφείο Υφυπουργού</w:t>
      </w:r>
    </w:p>
    <w:p>
      <w:pPr>
        <w:spacing w:before="240" w:after="240"/>
        <w:rPr>
          <w:lang w:val="el" w:eastAsia="el"/>
        </w:rPr>
      </w:pPr>
      <w:r>
        <w:rPr>
          <w:lang w:val="el" w:eastAsia="el"/>
        </w:rPr>
        <w:t xml:space="preserve">3. </w:t>
      </w:r>
      <w:r>
        <w:rPr>
          <w:b/>
          <w:bCs/>
          <w:lang w:val="el" w:eastAsia="el"/>
        </w:rPr>
        <w:t>Γραφείο Γενικής Γραμματέως Φορολογικής Πολιτικής</w:t>
      </w:r>
    </w:p>
    <w:p>
      <w:pPr>
        <w:spacing w:before="240" w:after="240"/>
        <w:rPr>
          <w:lang w:val="el" w:eastAsia="el"/>
        </w:rPr>
      </w:pPr>
      <w:r>
        <w:rPr>
          <w:lang w:val="el" w:eastAsia="el"/>
        </w:rPr>
        <w:t xml:space="preserve">4. </w:t>
      </w:r>
      <w:r>
        <w:rPr>
          <w:b/>
          <w:bCs/>
          <w:lang w:val="el" w:eastAsia="el"/>
        </w:rPr>
        <w:t>Αποδέκτες Πίνακα Β΄(περίπτωση 3)</w:t>
      </w:r>
    </w:p>
    <w:p>
      <w:pPr>
        <w:spacing w:before="240" w:after="240"/>
        <w:rPr>
          <w:lang w:val="el" w:eastAsia="el"/>
        </w:rPr>
      </w:pPr>
      <w:r>
        <w:rPr>
          <w:lang w:val="el" w:eastAsia="el"/>
        </w:rPr>
        <w:t xml:space="preserve">5. </w:t>
      </w:r>
      <w:r>
        <w:rPr>
          <w:b/>
          <w:bCs/>
          <w:lang w:val="el" w:eastAsia="el"/>
        </w:rPr>
        <w:t>Αποδέκτες Πίνακα Γ΄ (περιπτώσεις 1 έως και 5, 7, 8)</w:t>
      </w:r>
    </w:p>
    <w:p>
      <w:pPr>
        <w:spacing w:before="240" w:after="240"/>
        <w:rPr>
          <w:lang w:val="el" w:eastAsia="el"/>
        </w:rPr>
      </w:pPr>
      <w:r>
        <w:rPr>
          <w:lang w:val="el" w:eastAsia="el"/>
        </w:rPr>
        <w:t xml:space="preserve">6. </w:t>
      </w:r>
      <w:r>
        <w:rPr>
          <w:b/>
          <w:bCs/>
          <w:lang w:val="el" w:eastAsia="el"/>
        </w:rPr>
        <w:t>Αποδέκτες Πίνακα Ζ΄(περιπτώσεις 1 και 7)</w:t>
      </w:r>
    </w:p>
    <w:p>
      <w:pPr>
        <w:spacing w:before="240" w:after="240"/>
        <w:rPr>
          <w:lang w:val="el" w:eastAsia="el"/>
        </w:rPr>
      </w:pPr>
      <w:r>
        <w:rPr>
          <w:lang w:val="el" w:eastAsia="el"/>
        </w:rPr>
        <w:t xml:space="preserve">7. </w:t>
      </w:r>
      <w:r>
        <w:rPr>
          <w:b/>
          <w:bCs/>
          <w:lang w:val="el" w:eastAsia="el"/>
        </w:rPr>
        <w:t>Αποδέκτες Πίνακα Η΄(περιπτώσεις 1 έως και 3, 5 έως και 9)</w:t>
      </w:r>
    </w:p>
    <w:p>
      <w:pPr>
        <w:spacing w:before="240" w:after="240"/>
        <w:rPr>
          <w:lang w:val="el" w:eastAsia="el"/>
        </w:rPr>
      </w:pPr>
      <w:r>
        <w:rPr>
          <w:lang w:val="el" w:eastAsia="el"/>
        </w:rPr>
        <w:t xml:space="preserve">8. </w:t>
      </w:r>
      <w:r>
        <w:rPr>
          <w:b/>
          <w:bCs/>
          <w:lang w:val="el" w:eastAsia="el"/>
        </w:rPr>
        <w:t>Αποδέκτες Πίνακα ΙΑ΄</w:t>
      </w:r>
    </w:p>
    <w:p>
      <w:pPr>
        <w:spacing w:before="240" w:after="240"/>
        <w:rPr>
          <w:lang w:val="el" w:eastAsia="el"/>
        </w:rPr>
      </w:pPr>
      <w:r>
        <w:rPr>
          <w:b/>
          <w:bCs/>
          <w:lang w:val="el" w:eastAsia="el"/>
        </w:rPr>
        <w:t>IV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Προϊσταμένου Γενικής Διεύθυνσης Φορολογίας</w:t>
      </w:r>
    </w:p>
    <w:p>
      <w:pPr>
        <w:spacing w:before="240" w:after="240"/>
        <w:rPr>
          <w:lang w:val="el" w:eastAsia="el"/>
        </w:rPr>
      </w:pPr>
      <w:r>
        <w:rPr>
          <w:lang w:val="el" w:eastAsia="el"/>
        </w:rPr>
        <w:t xml:space="preserve">3. </w:t>
      </w:r>
      <w:r>
        <w:rPr>
          <w:b/>
          <w:bCs/>
          <w:lang w:val="el" w:eastAsia="el"/>
        </w:rPr>
        <w:t>Διευθύνσεις, Αυτοτελή Τμήματα και Αυτοτελή Γραφεία της Γ.Δ.Φ.</w:t>
      </w:r>
    </w:p>
    <w:p>
      <w:pPr>
        <w:spacing w:before="240" w:after="240"/>
        <w:rPr>
          <w:lang w:val="el" w:eastAsia="el"/>
        </w:rPr>
      </w:pPr>
      <w:r>
        <w:rPr>
          <w:lang w:val="el" w:eastAsia="el"/>
        </w:rPr>
        <w:t xml:space="preserve">4. </w:t>
      </w:r>
      <w:r>
        <w:rPr>
          <w:b/>
          <w:bCs/>
          <w:lang w:val="el" w:eastAsia="el"/>
        </w:rPr>
        <w:t>Διεύθυνση Νομικής Υποστήριξης της ΑΑΔΕ</w:t>
      </w:r>
    </w:p>
    <w:p>
      <w:pPr>
        <w:spacing w:before="240" w:after="240"/>
        <w:rPr>
          <w:lang w:val="el" w:eastAsia="el"/>
        </w:rPr>
      </w:pPr>
      <w:r>
        <w:rPr>
          <w:lang w:val="el" w:eastAsia="el"/>
        </w:rPr>
        <w:t xml:space="preserve">5. </w:t>
      </w:r>
      <w:r>
        <w:rPr>
          <w:b/>
          <w:bCs/>
          <w:lang w:val="el" w:eastAsia="el"/>
        </w:rPr>
        <w:t>Διεύθυνση Ανάπτυξης Φορολογικών Εφαρμογών - Τμήμα Α΄</w:t>
      </w:r>
    </w:p>
    <w:p>
      <w:pPr>
        <w:spacing w:before="240" w:after="240"/>
        <w:rPr>
          <w:lang w:val="el" w:eastAsia="el"/>
        </w:rPr>
      </w:pPr>
      <w:r>
        <w:rPr>
          <w:lang w:val="el" w:eastAsia="el"/>
        </w:rPr>
        <w:t xml:space="preserve">6. </w:t>
      </w:r>
      <w:r>
        <w:rPr>
          <w:b/>
          <w:bCs/>
          <w:lang w:val="el" w:eastAsia="el"/>
        </w:rPr>
        <w:t>Διεύθυνση Επιχειρησιακών Διαδικασιών - Τμήμα Α΄</w:t>
      </w:r>
    </w:p>
    <w:p>
      <w:pPr>
        <w:spacing w:before="240" w:after="240"/>
        <w:rPr>
          <w:lang w:val="el" w:eastAsia="el"/>
        </w:rPr>
      </w:pPr>
      <w:r>
        <w:rPr>
          <w:lang w:val="el" w:eastAsia="el"/>
        </w:rPr>
        <w:t xml:space="preserve">7. </w:t>
      </w:r>
      <w:r>
        <w:rPr>
          <w:b/>
          <w:bCs/>
          <w:lang w:val="el" w:eastAsia="el"/>
        </w:rPr>
        <w:t>Διεύθυνση Στρατηγικής Τεχνολογιών Πληροφορικής - Τμήμα Δ΄</w:t>
      </w:r>
    </w:p>
    <w:p>
      <w:pPr>
        <w:spacing w:before="240" w:after="240"/>
        <w:rPr>
          <w:lang w:val="el" w:eastAsia="el"/>
        </w:rPr>
      </w:pPr>
      <w:r>
        <w:rPr>
          <w:lang w:val="el" w:eastAsia="el"/>
        </w:rPr>
        <w:t xml:space="preserve">8. </w:t>
      </w:r>
      <w:r>
        <w:rPr>
          <w:b/>
          <w:bCs/>
          <w:lang w:val="el" w:eastAsia="el"/>
        </w:rPr>
        <w:t>Διεύθυνση Εφαρμογής Φορολογίας Κεφαλαίου και Περιουσιολογίου – Τμήματα Α΄ και Β΄</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Κεντρικό Πρωτόκολλο</w:t>
      </w:r>
    </w:p>
    <w:p>
      <w:pPr>
        <w:spacing w:before="240" w:after="240"/>
        <w:rPr>
          <w:lang w:val="el" w:eastAsia="el"/>
        </w:rPr>
      </w:pPr>
      <w:r>
        <w:rPr>
          <w:lang w:val="el" w:eastAsia="el"/>
        </w:rPr>
        <w:t>ΑΥΓΕΡΙΝΟΠΟΥΛΟΥ ΠΗΝΕΛΟΠΗ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