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24/12/2025</w:t>
      </w:r>
    </w:p>
    <w:p>
      <w:pPr>
        <w:pStyle w:val="PreambelText"/>
        <w:spacing w:before="240" w:after="240"/>
        <w:rPr>
          <w:lang w:val="el" w:eastAsia="el"/>
        </w:rPr>
      </w:pPr>
      <w:r>
        <w:rPr>
          <w:lang w:val="el" w:eastAsia="el"/>
        </w:rPr>
        <w:t>Α. Π.: Εισερχ. Α1192</w:t>
      </w:r>
    </w:p>
    <w:p>
      <w:pPr>
        <w:pStyle w:val="PreambelText"/>
        <w:spacing w:before="240" w:after="240"/>
        <w:rPr>
          <w:lang w:val="el" w:eastAsia="el"/>
        </w:rPr>
      </w:pPr>
      <w:r>
        <w:rPr>
          <w:lang w:val="el" w:eastAsia="el"/>
        </w:rPr>
        <w:t>Α. Π. Αποστολέα: Α1192 Ημ/νία Αποστολής: 24/12/2025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ΑΝΑΠΤΥΞΗΣ ΦΟΡΟΛΟΓΙΚΩΝ ΕΦΑΡΜΟΓΩΝ ΤΜΗΜΑ Β’</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Πειραιώς 72 και Πύργου</w:t>
      </w:r>
    </w:p>
    <w:p>
      <w:pPr>
        <w:spacing w:before="240" w:after="240"/>
        <w:rPr>
          <w:lang w:val="el" w:eastAsia="el"/>
        </w:rPr>
      </w:pPr>
      <w:r>
        <w:rPr>
          <w:b/>
          <w:bCs/>
          <w:lang w:val="el" w:eastAsia="el"/>
        </w:rPr>
        <w:t>Ταχ. Κώδικας : 183 46 - ΜΟΣΧΑΤΟ</w:t>
      </w:r>
    </w:p>
    <w:p>
      <w:pPr>
        <w:spacing w:before="240" w:after="240"/>
        <w:rPr>
          <w:lang w:val="el" w:eastAsia="el"/>
        </w:rPr>
      </w:pPr>
      <w:r>
        <w:rPr>
          <w:b/>
          <w:bCs/>
          <w:lang w:val="el" w:eastAsia="el"/>
        </w:rPr>
        <w:t>ΘΕΜΑ : Τροποποίηση της υπό στοιχεία Α. 1062/17-04-2025 απόφασης του Διοικητή της Ανεξάρτητης Αρχής Δημοσίων Εσόδων (ΑΑΔΕ) «Ψηφιακή υποβολή δήλωσης φόρου μεταβίβασης ακινήτων μέσω Δ.Ο.Υ./ΚΕ.ΦΟ.Κ– “Δήλωση φόρου μεταβίβασης ακινήτων μέσω Δ.Ο.Υ./ΚΕ.ΦΟ.Κ ”» (Β΄2049).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ειδικότερα των άρθρων 22, 23 και της παρ. 26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του ν. 5219/2025 «Κώδικας Φορολογίας Περιουσίας» (Α΄ 130) και ειδικότερα του άρθρου 28 και της παρ. 8 του άρθρου 123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2020/17.1.2020 (Υ.Ο.Δ.Δ. 27) απόφαση του Υπουργού Οικονομικών καθώς και την υπό στοιχεία 7608 ΕΞ 2025/17-01-2025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3. </w:t>
      </w:r>
      <w:r>
        <w:rPr>
          <w:b/>
          <w:bCs/>
          <w:lang w:val="el" w:eastAsia="el"/>
        </w:rPr>
        <w:t>Την υπό στοιχεία Α. 1062/17-04-2025 απόφαση του Διοικητή της ΑΑΔΕ «Ψηφιακή υποβολή δήλωσης φόρου μεταβίβασης ακινήτων μέσω Δ.Ο.Υ./ΚΕ.ΦΟ.Κ– “Δήλωση φόρου μεταβίβασης ακινήτων μέσω Δ.Ο.Υ./ΚΕ.ΦΟ.Κ ”» (Β΄2049).</w:t>
      </w:r>
    </w:p>
    <w:p>
      <w:pPr>
        <w:spacing w:before="240" w:after="240"/>
        <w:rPr>
          <w:lang w:val="el" w:eastAsia="el"/>
        </w:rPr>
      </w:pPr>
      <w:r>
        <w:rPr>
          <w:lang w:val="el" w:eastAsia="el"/>
        </w:rPr>
        <w:t xml:space="preserve">4. </w:t>
      </w:r>
      <w:r>
        <w:rPr>
          <w:b/>
          <w:bCs/>
          <w:lang w:val="el" w:eastAsia="el"/>
        </w:rPr>
        <w:t>Την ανάγκη καθορισμού του τρόπου και περιεχομένου της υποβολής εμπρόθεσμων τροποποιητικών δηλώσεων φόρου μεταβίβασης ακινήτων για τη σύνταξη συμβολαιογραφικών πράξεων σύστασης, τροποποίησης και κατάργησης σύστασης οριζοντίων ή κάθετων ιδιοκτησιών, μέσω της εφαρμογής myPROPERTY μέσω Δ.Ο.Υ./ΚΕ.ΦΟ.Κ. της ΑΑΔΕ.</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«Ηλεκτρονική Δήλωση Φόρου Μεταβίβασης Ακινήτων» και Μοναδικό Αριθμό Καταχώρισης (Μ.Α.Κ.) στο ΕΜΔΔ «Μίτος» 898734,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1 του άρθρου 2 της υπό στοιχεία Α. 1062/2025 απόφασης του Διοικητή της ΑΑΔΕ «Ψηφιακή υποβολή δήλωσης φόρου μεταβίβασης ακινήτων μέσω Δ.Ο.Υ./ΚΕ.ΦΟ.Κ– “Δήλωση φόρου μεταβίβασης ακινήτων μέσω Δ.Ο.Υ./ΚΕ.ΦΟ.Κ”» στην περ. γ) η φράση «των ανωτέρω περιπτώσεων» διαγράφεται, μετά την περ. γ) προστίθεται περ. δ) και οι περιπτώσεις γ) και δ) διαμορφώνονται ως εξής:</w:t>
      </w:r>
    </w:p>
    <w:p>
      <w:pPr>
        <w:spacing w:before="240" w:after="240"/>
        <w:rPr>
          <w:lang w:val="el" w:eastAsia="el"/>
        </w:rPr>
      </w:pPr>
      <w:r>
        <w:rPr>
          <w:b/>
          <w:bCs/>
          <w:lang w:val="el" w:eastAsia="el"/>
        </w:rPr>
        <w:t>«γ) Οι δηλώσεις για τη ματαίωση σύνταξης της συμβολαιογραφικής πράξης, εφόσον οι αρχικές έχουν υποβληθεί μέσω της ψηφιακής εφαρμογής της παρούσας.</w:t>
      </w:r>
    </w:p>
    <w:p>
      <w:pPr>
        <w:spacing w:before="240" w:after="240"/>
        <w:rPr>
          <w:lang w:val="el" w:eastAsia="el"/>
        </w:rPr>
      </w:pPr>
      <w:r>
        <w:rPr>
          <w:b/>
          <w:bCs/>
          <w:lang w:val="el" w:eastAsia="el"/>
        </w:rPr>
        <w:t>δ) Οι τροποποιητικές εμπρόθεσμες δηλώσεις φόρου μεταβίβασης ακινήτων που αφορούν στις περιπτώσεις α) και β), εφόσον η αρχική δήλωση έχει υποβληθεί ψηφιακά μέσω της εφαρμογής myPROPERTY- Δήλωση φόρου μεταβίβασης ακινήτων μέσω Δ.Ο.Υ./ΚΕ.ΦΟ.Κ και δεν έχει συνταχθεί το σχετικό συμβολαιογραφικό έγγραφο.»</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ισχύει πέντε (5) ημέρες από τη δημοσίευσή της στην Εφημερίδα της Κυβερνήσεως.</w:t>
      </w:r>
    </w:p>
    <w:p>
      <w:pPr>
        <w:spacing w:before="240" w:after="240"/>
        <w:rPr>
          <w:lang w:val="el" w:eastAsia="el"/>
        </w:rPr>
      </w:pPr>
      <w:r>
        <w:rPr>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 xml:space="preserve">ΙI. </w:t>
      </w:r>
      <w:r>
        <w:rPr>
          <w:b/>
          <w:bCs/>
          <w:u w:val="single"/>
          <w:lang w:val="el" w:eastAsia="el"/>
        </w:rPr>
        <w:t>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Γ΄(περιπτώσεις 6 και 9)</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 (Γ.Δ.ΗΛΕ.Δ.)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 7, 8)</w:t>
      </w:r>
    </w:p>
    <w:p>
      <w:pPr>
        <w:spacing w:before="240" w:after="240"/>
        <w:rPr>
          <w:lang w:val="el" w:eastAsia="el"/>
        </w:rPr>
      </w:pPr>
      <w:r>
        <w:rPr>
          <w:lang w:val="el" w:eastAsia="el"/>
        </w:rPr>
        <w:t xml:space="preserve">6. </w:t>
      </w:r>
      <w:r>
        <w:rPr>
          <w:b/>
          <w:bCs/>
          <w:lang w:val="el" w:eastAsia="el"/>
        </w:rPr>
        <w:t>Αποδέκτες Πίνακα Ζ΄(περιπτώσεις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ΙΑ΄</w:t>
      </w:r>
    </w:p>
    <w:p>
      <w:pPr>
        <w:spacing w:before="240" w:after="240"/>
        <w:rPr>
          <w:lang w:val="el" w:eastAsia="el"/>
        </w:rPr>
      </w:pPr>
      <w:r>
        <w:rPr>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Ανάπτυξης Φορολογικών Εφαρμογών - Τμήμα Α΄</w:t>
      </w:r>
    </w:p>
    <w:p>
      <w:pPr>
        <w:spacing w:before="240" w:after="240"/>
        <w:rPr>
          <w:lang w:val="el" w:eastAsia="el"/>
        </w:rPr>
      </w:pPr>
      <w:r>
        <w:rPr>
          <w:lang w:val="el" w:eastAsia="el"/>
        </w:rPr>
        <w:t xml:space="preserve">6.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 - Τμήμα Δ΄</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 – Τμήματα Α΄ και Β΄</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