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Μοσχάτο, 13/01/2026</w:t>
      </w:r>
    </w:p>
    <w:p>
      <w:pPr>
        <w:pStyle w:val="PreambelText"/>
        <w:spacing w:before="240" w:after="240"/>
        <w:rPr>
          <w:lang w:val="el" w:eastAsia="el"/>
        </w:rPr>
      </w:pPr>
      <w:r>
        <w:rPr>
          <w:lang w:val="el" w:eastAsia="el"/>
        </w:rPr>
        <w:t>Α. Π.: Εισερχ. Α1005</w:t>
      </w:r>
    </w:p>
    <w:p>
      <w:pPr>
        <w:pStyle w:val="PreambelText"/>
        <w:spacing w:before="240" w:after="240"/>
        <w:rPr>
          <w:lang w:val="el" w:eastAsia="el"/>
        </w:rPr>
      </w:pPr>
      <w:r>
        <w:rPr>
          <w:lang w:val="el" w:eastAsia="el"/>
        </w:rPr>
        <w:t>Α. Π. Αποστολέα: Α1005</w:t>
      </w:r>
    </w:p>
    <w:p>
      <w:pPr>
        <w:pStyle w:val="PreambelText"/>
        <w:spacing w:before="240" w:after="240"/>
        <w:rPr>
          <w:lang w:val="el" w:eastAsia="el"/>
        </w:rPr>
      </w:pPr>
      <w:r>
        <w:rPr>
          <w:lang w:val="el" w:eastAsia="el"/>
        </w:rPr>
        <w:t>Ημ/νία Αποστολής: 13/01/2026</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9Υ2Ε46ΜΠ3Ζ-9ΟΗ</w:t>
      </w:r>
    </w:p>
    <w:p>
      <w:pPr>
        <w:pStyle w:val="PreambelText"/>
        <w:spacing w:before="240" w:after="240"/>
        <w:rPr>
          <w:lang w:val="el" w:eastAsia="el"/>
        </w:rPr>
      </w:pPr>
      <w:r>
        <w:rPr>
          <w:b/>
          <w:bCs/>
          <w:lang w:val="el" w:eastAsia="el"/>
        </w:rPr>
        <w:t>Αριθ. ΦΕΚ. Β΄86/14.01.2026</w:t>
      </w:r>
    </w:p>
    <w:p>
      <w:pPr>
        <w:pStyle w:val="PreambelText"/>
        <w:spacing w:before="240" w:after="240"/>
        <w:rPr>
          <w:lang w:val="el" w:eastAsia="el"/>
        </w:rPr>
      </w:pPr>
      <w:r>
        <w:rPr>
          <w:lang w:val="el" w:eastAsia="el"/>
        </w:rPr>
        <w:t xml:space="preserve">1. </w:t>
      </w:r>
      <w:r>
        <w:rPr>
          <w:b/>
          <w:bCs/>
          <w:lang w:val="el" w:eastAsia="el"/>
        </w:rPr>
        <w:t>ΥΠΟΥΡΓΕΙΟ ΕΘΝΙΚΗΣ ΟΙΚΟΝΟΜΙΑΣ ΚΑΙ ΟΙΚΟΝΟΜΙΚΩΝ</w:t>
      </w:r>
    </w:p>
    <w:p>
      <w:pPr>
        <w:pStyle w:val="PreambelText"/>
        <w:spacing w:before="240" w:after="240"/>
        <w:rPr>
          <w:lang w:val="el" w:eastAsia="el"/>
        </w:rPr>
      </w:pPr>
      <w:r>
        <w:rPr>
          <w:b/>
          <w:bCs/>
          <w:lang w:val="el" w:eastAsia="el"/>
        </w:rPr>
        <w:t>ΑΔΑΕ</w:t>
      </w:r>
    </w:p>
    <w:p>
      <w:pPr>
        <w:pStyle w:val="PreambelText"/>
        <w:spacing w:before="240" w:after="240"/>
        <w:rPr>
          <w:lang w:val="el" w:eastAsia="el"/>
        </w:rPr>
      </w:pPr>
      <w:r>
        <w:rPr>
          <w:lang w:val="el" w:eastAsia="el"/>
        </w:rPr>
        <w:t>Ανεξάρτητη Αρχή</w:t>
      </w:r>
    </w:p>
    <w:p>
      <w:pPr>
        <w:pStyle w:val="PreambelText"/>
        <w:spacing w:before="240" w:after="240"/>
        <w:rPr>
          <w:lang w:val="el" w:eastAsia="el"/>
        </w:rPr>
      </w:pPr>
      <w:r>
        <w:rPr>
          <w:lang w:val="el" w:eastAsia="el"/>
        </w:rPr>
        <w:t>Δημοσίων Εσόδων</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b/>
          <w:bCs/>
          <w:lang w:val="el" w:eastAsia="el"/>
        </w:rPr>
        <w:t>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Β.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w:t>
      </w:r>
    </w:p>
    <w:p>
      <w:pPr>
        <w:spacing w:before="240" w:after="240"/>
        <w:rPr>
          <w:lang w:val="el" w:eastAsia="el"/>
        </w:rPr>
      </w:pPr>
      <w:r>
        <w:rPr>
          <w:b/>
          <w:bCs/>
          <w:lang w:val="el" w:eastAsia="el"/>
        </w:rPr>
        <w:t>ΕΦΑΡΜΟΓΩΝ</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 xml:space="preserve">Πειραιώς 180 177 78 Ταύρος 2131410148 </w:t>
      </w:r>
      <w:hyperlink r:id="rId4" w:history="1">
        <w:r>
          <w:rPr>
            <w:rStyle w:val="Hyperlink"/>
            <w:b/>
            <w:bCs/>
            <w:color w:val="0000EE"/>
            <w:u w:color="0000EE"/>
            <w:lang w:val="el" w:eastAsia="el"/>
          </w:rPr>
          <w:t>defk@aade.gr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1014/25.01.2024 κοινής απόφασης του Υφυπουργού Εθνικής Οικονομίας και Οικονομικών και του Διοικητή της Ανεξάρτητης Αρχής Δημοσίων Εσόδων (Α.Α.Δ.Ε.) «Χορήγηση μείωσης του Ενιαίου Φόρου Ιδιοκτησίας Ακινήτων (ΕΝΦΙΑ) για κατοικίες φυσικών προσώπων που ασφαλίζονται για σεισμό, πυρκαγιά και πλημμύρα, σύμφωνα με την παρ. 7Ζ του άρθρου 3 του ν. 4223/2013 (Α' 287)» (Β’743).</w:t>
      </w:r>
    </w:p>
    <w:p>
      <w:pPr>
        <w:spacing w:before="240" w:after="240"/>
        <w:rPr>
          <w:lang w:val="el" w:eastAsia="el"/>
        </w:rPr>
      </w:pPr>
      <w:r>
        <w:rPr>
          <w:b/>
          <w:bCs/>
          <w:u w:val="single"/>
          <w:lang w:val="el" w:eastAsia="el"/>
        </w:rPr>
        <w:t>ΑΠΟΦΑΣΗΟ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Κώδικα Φορολογίας Περιουσίας (ν. 5219/2025, Α΄130) και ιδίως της παρ. 5 του άρθρου 10 αυτού,</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ν. 5104/2024 «Κώδικας Φορολογικής Διαδικασίας και άλλες διατάξεις» (Α΄58), γ) 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παρ.1 του άρθρου 14 και του άρθρου 41 αυτού,</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π.δ. 142/2017 «Οργανισμός Υπουργείου Οικονομικών» (Α΄ 181),</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π.δ. 27/2025 «Διορισμός Υπουργών, Αναπληρωτή Υπουργού, Υφυπουργών και Αντιπροέδρου της Κυβέρνησης» ( Α΄44),</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2. </w:t>
      </w:r>
      <w:r>
        <w:rPr>
          <w:b/>
          <w:bCs/>
          <w:u w:val="single"/>
          <w:lang w:val="el" w:eastAsia="el"/>
        </w:rPr>
        <w:t>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το πρώτο εδάφιο της παρ. 10 του άρθρου 41 του ν. 4389/2016 και τις αποφάσεις: υπ’ αρ. 39/3/30-11-2017 (Υ.Ο.Δ.Δ. 689) του Συμβουλίου Διοίκησης της Α.Α.Δ.Ε., υπό στοιχεία 5294 ΕΞ 2020/17-01-2020 (Υ.Ο.Δ.Δ. 27) του Υπουργού Οικονομικών και υπ’ αρ. 7608/17.1.2025 (Υ.Ο.Δ.Δ. 11) του Υπουργού Εθνικής Οικονομίας και Οικονομικών, με θέμα «Ανανέωση της θητείας του Διοικητή της Ανεξάρτητης Αρχής Δημοσίων Εσόδων (Α.Α.Δ.Ε.)».</w:t>
      </w:r>
    </w:p>
    <w:p>
      <w:pPr>
        <w:spacing w:before="240" w:after="240"/>
        <w:rPr>
          <w:lang w:val="el" w:eastAsia="el"/>
        </w:rPr>
      </w:pPr>
      <w:r>
        <w:rPr>
          <w:u w:val="single"/>
          <w:lang w:val="el" w:eastAsia="el"/>
        </w:rPr>
        <w:t xml:space="preserve">3. </w:t>
      </w:r>
      <w:r>
        <w:rPr>
          <w:b/>
          <w:bCs/>
          <w:u w:val="single"/>
          <w:lang w:val="el" w:eastAsia="el"/>
        </w:rPr>
        <w:t>Την υπό στοιχεία 47542 EΞ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spacing w:before="240" w:after="240"/>
        <w:rPr>
          <w:lang w:val="el" w:eastAsia="el"/>
        </w:rPr>
      </w:pPr>
      <w:r>
        <w:rPr>
          <w:u w:val="single"/>
          <w:lang w:val="el" w:eastAsia="el"/>
        </w:rPr>
        <w:t xml:space="preserve">4. </w:t>
      </w:r>
      <w:r>
        <w:rPr>
          <w:b/>
          <w:bCs/>
          <w:u w:val="single"/>
          <w:lang w:val="el" w:eastAsia="el"/>
        </w:rPr>
        <w:t xml:space="preserve">α) Τις υπό στοιχεία Α. 1099/2023 (Β΄4327) και Α. 1035/2023 (Β΄1831) αποφάσεις του Διοικητή της ΑΑΔΕ και τις υπό στοιχεία ΠΟΛ 1052/2014 </w:t>
      </w:r>
      <w:r>
        <w:rPr>
          <w:u w:val="single"/>
          <w:lang w:val="el" w:eastAsia="el"/>
        </w:rPr>
        <w:t>(</w:t>
      </w:r>
      <w:r>
        <w:rPr>
          <w:b/>
          <w:bCs/>
          <w:u w:val="single"/>
          <w:lang w:val="el" w:eastAsia="el"/>
        </w:rPr>
        <w:t xml:space="preserve">Β' 389) και ΠΟΛ 1200/2014 (Β' 2444) αποφάσεις του Γενικού Γραμματέα Δημοσίων Εσόδων (ΓΓΔΕ) σχετικά με τον τύπο και το περιεχόμενο της δήλωσης στοιχείων ακινήτων (Ε9), τον </w:t>
      </w:r>
      <w:r>
        <w:rPr>
          <w:u w:val="single"/>
          <w:lang w:val="el" w:eastAsia="el"/>
        </w:rPr>
        <w:t>τρόπο αναγραφής των ακινήτων</w:t>
      </w:r>
      <w:r>
        <w:rPr>
          <w:b/>
          <w:bCs/>
          <w:u w:val="single"/>
          <w:lang w:val="el" w:eastAsia="el"/>
        </w:rPr>
        <w:t xml:space="preserve">, τα </w:t>
      </w:r>
      <w:r>
        <w:rPr>
          <w:u w:val="single"/>
          <w:lang w:val="el" w:eastAsia="el"/>
        </w:rPr>
        <w:t>δικαιολογητικά που συνυποβάλλονται και τ</w:t>
      </w:r>
      <w:r>
        <w:rPr>
          <w:b/>
          <w:bCs/>
          <w:u w:val="single"/>
          <w:lang w:val="el" w:eastAsia="el"/>
        </w:rPr>
        <w:t xml:space="preserve">η </w:t>
      </w:r>
      <w:r>
        <w:rPr>
          <w:u w:val="single"/>
          <w:lang w:val="el" w:eastAsia="el"/>
        </w:rPr>
        <w:t xml:space="preserve">διαδικασία υποβολής </w:t>
      </w:r>
      <w:r>
        <w:rPr>
          <w:b/>
          <w:bCs/>
          <w:u w:val="single"/>
          <w:lang w:val="el" w:eastAsia="el"/>
        </w:rPr>
        <w:t>της.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Την υπό στοιχεία Α. 1272 /2019 απόφαση του Διοικητή της ΑΑΔΕ «Διαδικασία διορθώσεων και χορήγηση απαλλαγών από τον Ενιαίο Φόρο Ιδιοκτησίας Ακινήτων, καθορισμός του αρμόδιου οργάνου - Τροποποίηση και κωδικοποίηση της</w:t>
      </w:r>
      <w:r>
        <w:rPr>
          <w:rStyle w:val="link"/>
          <w:b/>
          <w:bCs/>
          <w:u w:val="single"/>
          <w:lang w:val="el" w:eastAsia="el"/>
        </w:rPr>
        <w:t xml:space="preserve"> ΠΟΛ </w:t>
      </w:r>
      <w:r>
        <w:rPr>
          <w:rStyle w:val="link"/>
          <w:b/>
          <w:bCs/>
          <w:u w:val="single"/>
          <w:lang w:val="el" w:eastAsia="el"/>
        </w:rPr>
        <w:t>1163/2015</w:t>
      </w:r>
      <w:r>
        <w:rPr>
          <w:b/>
          <w:bCs/>
          <w:u w:val="single"/>
          <w:lang w:val="el" w:eastAsia="el"/>
        </w:rPr>
        <w:t xml:space="preserve"> απόφασης ΓΓΔΕ (Β' 1711)» (Β΄ 2936).</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υπό στοιχεία Α. 1158/2022 απόφαση του Διοικητή της ΑΑΔΕ «Καθορισμός και επικαιροποίηση τύπου και περιεχομένου εντύπων της Φορολογικής Διοίκησης» (Β΄ 5703).</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Την υπό στοιχεία ΠΟΛ. 1033/2014 (Β’ 276) απόφαση του ΓΓΔΕ, σχετικά με τις υποχρεώσεις, μεταξύ άλλων, των επιχειρήσεων ιδιωτικής ασφάλισης για διαβίβαση στην ΑΑΔΕ στοιχείων των ασφαλιστηρίων συμβολαίων κατοικίας φυσικών προσώπων.</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Την υπό στοιχεία Α. 1014/2024 (Β’743) κοινή απόφαση του Υφυπουργού Εθνικής Οικονομίας και Οικονομικών και του Διοικητή της ΑΑΔΕ, σχετικά με τις προϋποθέσεις και τη διαδικασία για τη χορήγηση μείωσης του ΕΝΦΙΑ για κατοικίες φυσικών προσώπων που ασφαλίζονται για σεισμό, πυρκαγιά και πλημμύρα, σύμφωνα με την παρ. 7Ζ του άρθρου 3 του ν. 4223/2013 (Α΄ 287).</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Την υπό στοιχεία Α. 1002/14.1.2025 απόφαση του Υφυπουργού Εθνικής Οικονομίας και Οικονομικών «Τροποποίηση της υπό στοιχεία Α.1014/25.01.2024 (Β' 743) κοινής απόφασης του Υφυπουργού Εθνικής Οικονομίας και Οικονομικών και του Διοικητή της ΑΑΔΕ, ως προς τις προϋποθέσεις και τη διαδικασία για τη χορήγηση μείωσης του Ενιαίου Φόρου Ιδιοκτησίας Ακινήτων (ΕΝΦΙΑ) σε ασφαλισμένες κατοικίες φυσικών προσώπων για τα έτη 2025 και επόμενα» (Β’ 33).</w:t>
      </w:r>
    </w:p>
    <w:p>
      <w:pPr>
        <w:spacing w:before="240" w:after="240"/>
        <w:rPr>
          <w:lang w:val="el" w:eastAsia="el"/>
        </w:rPr>
      </w:pPr>
      <w:r>
        <w:rPr>
          <w:u w:val="single"/>
          <w:lang w:val="el" w:eastAsia="el"/>
        </w:rPr>
        <w:t xml:space="preserve">5. </w:t>
      </w:r>
      <w:r>
        <w:rPr>
          <w:b/>
          <w:bCs/>
          <w:u w:val="single"/>
          <w:lang w:val="el" w:eastAsia="el"/>
        </w:rPr>
        <w:t>Την υπό στοιχεία ΠΟΛ 1237/2014 Εγκύκλιο του ΓΓΔΕ, με την οποία παρέχονται οδηγίες για τη συμπλήρωση της δήλωσης στοιχείων ακινήτων (Ε9).</w:t>
      </w:r>
    </w:p>
    <w:p>
      <w:pPr>
        <w:spacing w:before="240" w:after="240"/>
        <w:rPr>
          <w:lang w:val="el" w:eastAsia="el"/>
        </w:rPr>
      </w:pPr>
      <w:r>
        <w:rPr>
          <w:u w:val="single"/>
          <w:lang w:val="el" w:eastAsia="el"/>
        </w:rPr>
        <w:t xml:space="preserve">6. </w:t>
      </w:r>
      <w:r>
        <w:rPr>
          <w:b/>
          <w:bCs/>
          <w:u w:val="single"/>
          <w:lang w:val="el" w:eastAsia="el"/>
        </w:rPr>
        <w:t>Την ανάγκη τροποποίησης της υπό στοιχεία Α. 1014/2024 (Β΄743) κοινής απόφασης του Υφυπουργού Εθνικής Οικονομίας και Οικονομικών και του Διοικητή της ΑΑΔΕ ως προς τον καθορισμό της αξίας ανακατασκευής των ακινήτων για το έτος 2026, καθώς και ως προς τα δικαιολογητικά για τη χορήγηση της μείωσης στις περιπτώσεις ομαδικών ασφαλιστηρίων.</w:t>
      </w:r>
    </w:p>
    <w:p>
      <w:pPr>
        <w:spacing w:before="240" w:after="240"/>
        <w:rPr>
          <w:lang w:val="el" w:eastAsia="el"/>
        </w:rPr>
      </w:pPr>
      <w:r>
        <w:rPr>
          <w:u w:val="single"/>
          <w:lang w:val="el" w:eastAsia="el"/>
        </w:rPr>
        <w:t xml:space="preserve">7. </w:t>
      </w:r>
      <w:r>
        <w:rPr>
          <w:b/>
          <w:bCs/>
          <w:u w:val="single"/>
          <w:lang w:val="el" w:eastAsia="el"/>
        </w:rPr>
        <w:t>Την από 24/12/2025 εισήγηση του Διοικητή της Ανεξάρτητης Αρχής Δημοσίων Εσόδων (ΑΑΔΕ).</w:t>
      </w:r>
    </w:p>
    <w:p>
      <w:pPr>
        <w:spacing w:before="240" w:after="240"/>
        <w:rPr>
          <w:lang w:val="el" w:eastAsia="el"/>
        </w:rPr>
      </w:pPr>
      <w:r>
        <w:rPr>
          <w:u w:val="single"/>
          <w:lang w:val="el" w:eastAsia="el"/>
        </w:rPr>
        <w:t xml:space="preserve">8. </w:t>
      </w:r>
      <w:r>
        <w:rPr>
          <w:b/>
          <w:bCs/>
          <w:u w:val="single"/>
          <w:lang w:val="el" w:eastAsia="el"/>
        </w:rPr>
        <w:t>Το γεγονός ότι με την παρούσα απόφαση δεν προκαλείται δαπάνη στον Προϋπολογισμό της Ανεξάρτητης Αρχής Δημοσίων Εσόδων.</w:t>
      </w:r>
    </w:p>
    <w:p>
      <w:pPr>
        <w:spacing w:before="240" w:after="240"/>
        <w:rPr>
          <w:lang w:val="el" w:eastAsia="el"/>
        </w:rPr>
      </w:pPr>
      <w:r>
        <w:rPr>
          <w:u w:val="single"/>
          <w:lang w:val="el" w:eastAsia="el"/>
        </w:rPr>
        <w:t xml:space="preserve">9. </w:t>
      </w:r>
      <w:r>
        <w:rPr>
          <w:b/>
          <w:bCs/>
          <w:u w:val="single"/>
          <w:lang w:val="el" w:eastAsia="el"/>
        </w:rPr>
        <w:t>Το γεγονός ότι με τις διατάξεις της παρούσας τροποποιείται η διοικητική διαδικασία με επίσημο τίτλο «Δήλωση Ε9 / ΕΝΦΙΑ» και Μοναδικό Αριθμό Καταχώρησης (Μ.Α.Κ.) στο ΕΜΔΔ «Μίτος» “314585”,</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Άρθρο 1</w:t>
      </w:r>
      <w:r>
        <w:rPr>
          <w:u w:val="single"/>
          <w:lang w:val="el" w:eastAsia="el"/>
        </w:rPr>
        <w:t xml:space="preserve"> </w:t>
      </w:r>
    </w:p>
    <w:p>
      <w:pPr>
        <w:pStyle w:val="Heading6"/>
        <w:spacing w:before="240" w:after="240"/>
        <w:rPr>
          <w:lang w:val="el" w:eastAsia="el"/>
        </w:rPr>
      </w:pPr>
      <w:r>
        <w:rPr>
          <w:b/>
          <w:bCs/>
          <w:u w:val="single"/>
          <w:lang w:val="el" w:eastAsia="el"/>
        </w:rPr>
        <w:t>Τροποποιούμε την υπό στοιχεία Α. 1014/2024 (Β΄743) κοινή απόφαση του Υφυπουργού Εθνικής Οικονομίας και Οικονομικών και του Διοικητή της ΑΑΔΕ, ως εξής: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Στο δεύτερο εδάφιο της παρ. 3 του άρθρου 1 οι λέξεις «και 2025» αντικαθίστανται από τις λέξεις «έως και 2026» και η παρ. 3 διαμορφώνεται ως εξής:</w:t>
      </w:r>
    </w:p>
    <w:p>
      <w:pPr>
        <w:spacing w:before="240" w:after="240"/>
        <w:rPr>
          <w:lang w:val="el" w:eastAsia="el"/>
        </w:rPr>
      </w:pPr>
      <w:r>
        <w:rPr>
          <w:b/>
          <w:bCs/>
          <w:u w:val="single"/>
          <w:lang w:val="el" w:eastAsia="el"/>
        </w:rPr>
        <w:t>«3. Η αξία ανακατασκευής της κατοικίας για την εφαρμογή της παρούσας ορίζεται σε χίλια (1.000) ευρώ ανά τετραγωνικό μέτρο. Ειδικά για τα έτη 2024 έως και 2026 η αξία ανακατασκευής της κατοικίας ορίζεται σε εννιακόσια (900) ευρώ ανά τετραγωνικό μέτρο.».</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Στην παρ. 2 του άρθρου 4 μετά το δεύτερο εδάφιο προστίθεται νέο εδάφιο και η παρ. 2 διαμορφώνεται ως εξής:</w:t>
      </w:r>
    </w:p>
    <w:p>
      <w:pPr>
        <w:spacing w:before="240" w:after="240"/>
        <w:rPr>
          <w:lang w:val="el" w:eastAsia="el"/>
        </w:rPr>
      </w:pPr>
      <w:r>
        <w:rPr>
          <w:u w:val="single"/>
          <w:lang w:val="el" w:eastAsia="el"/>
        </w:rPr>
        <w:t xml:space="preserve">«2 </w:t>
      </w:r>
      <w:r>
        <w:rPr>
          <w:b/>
          <w:bCs/>
          <w:u w:val="single"/>
          <w:lang w:val="el" w:eastAsia="el"/>
        </w:rPr>
        <w:t>. Στις περιπτώσεις της παρ. 2 του άρθρου 2, ο φορολογούμενος υποβάλλει αίτηση στην αρμόδια υπηρεσία της ΑΑΔΕ (ΔΟΥ/ΚΕΦΟΚ) σύμφωνα με το έντυπο “Δ500 Αίτηση - Δήλωση για τη χορήγηση απαλλαγής, έκπτωσης ή για την επανεκκαθάριση του ΕΝΦΙΑ” με τη διαδικασία που ορίζεται στις υπό στοιχεία Α.1272/2019 και Α. 1158/2022 αποφάσεις του Διοικητή της</w:t>
      </w:r>
    </w:p>
    <w:p>
      <w:pPr>
        <w:spacing w:before="240" w:after="240"/>
        <w:rPr>
          <w:lang w:val="el" w:eastAsia="el"/>
        </w:rPr>
      </w:pPr>
      <w:r>
        <w:rPr>
          <w:b/>
          <w:bCs/>
          <w:u w:val="single"/>
          <w:lang w:val="el" w:eastAsia="el"/>
        </w:rPr>
        <w:t>ΑΑΔΕ. Για τη χορήγηση της μείωσης απαιτείται η προσκόμιση του/των ασφαλιστηρίου/ων συμβολαίου/-ων και των τυχόν ανανεώσεων ή τροποποιήσεων αυτού/ών, καθώς και υπεύθυνη δήλωση σύμφωνα με τον ν. 1599/1986 (Α` 75), ότι τα στοιχεία της αίτησης είναι ακριβή και αληθή. Στις περιπτώσεις ομαδικών ασφαλιστηρίων συμβολαίων μπορεί να προσκομίζεται, αντί του/των ασφαλιστηρίου/ων συμβολαίου/-ων και των τυχόν ανανεώσεων ή τροποποιήσεων αυτού/ών, βεβαίωση ασφάλισης της ασφαλιστικής εταιρείας, στην οποία περιγράφονται με ακρίβεια και πληρότητα τα στοιχεία της ασφαλιστικής κάλυψης. Η μείωση του ΕΝΦΙΑ χορηγείται εφόσον πληρούνται οι προϋποθέσεις του άρθρου 1 της παρούσας, με τη διαδικασία που ορίζεται στην παρ. 8 του άρθρου 2 της υπό στοιχεία Α.1272/2019 απόφασης του Διοικητή της Α.Α.Δ.Ε.. Εάν η αίτηση δεν γίνει αποδεκτή, εκδίδεται πράξη απόρριψης σύμφωνα με την παρ. 9 του άρθρου 2 της ίδιας ως άνω απόφασης.».</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spacing w:before="240" w:after="240"/>
        <w:rPr>
          <w:lang w:val="el" w:eastAsia="el"/>
        </w:rPr>
      </w:pPr>
      <w:r>
        <w:rPr>
          <w:b/>
          <w:bCs/>
          <w:u w:val="single"/>
          <w:lang w:val="el" w:eastAsia="el"/>
        </w:rPr>
        <w:t>Η παρούσα ισχύει από τη δημοσίευσή της στην Εφημερίδα της Κυβερνήσεως.</w:t>
      </w:r>
    </w:p>
    <w:p>
      <w:pPr>
        <w:spacing w:before="240" w:after="240"/>
        <w:rPr>
          <w:lang w:val="el" w:eastAsia="el"/>
        </w:rPr>
      </w:pPr>
      <w:r>
        <w:rPr>
          <w:b/>
          <w:bCs/>
          <w:u w:val="single"/>
          <w:lang w:val="el" w:eastAsia="el"/>
        </w:rPr>
        <w:t>Η απόφαση αυτή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ΓΕΩΡΓΙΟΣ ΚΩΤΣΗΡΑΣ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u w:val="single"/>
          <w:lang w:val="el" w:eastAsia="el"/>
        </w:rPr>
        <w:t>Ι.ΑΠΟΔΕΚΤΕΣ ΓΙΑ ΑΜΕΣΗ ΕΝΕΡΓΕΙΑ</w:t>
      </w:r>
    </w:p>
    <w:p>
      <w:pPr>
        <w:spacing w:before="240" w:after="240"/>
        <w:rPr>
          <w:lang w:val="el" w:eastAsia="el"/>
        </w:rPr>
      </w:pPr>
      <w:r>
        <w:rPr>
          <w:b/>
          <w:bCs/>
          <w:u w:val="single"/>
          <w:lang w:val="el" w:eastAsia="el"/>
        </w:rPr>
        <w:t>Εθνικό Τυπογραφείο (για δημοσίευση)</w:t>
      </w:r>
    </w:p>
    <w:p>
      <w:pPr>
        <w:spacing w:before="240" w:after="240"/>
        <w:rPr>
          <w:lang w:val="el" w:eastAsia="el"/>
        </w:rPr>
      </w:pPr>
      <w:r>
        <w:rPr>
          <w:b/>
          <w:bCs/>
          <w:u w:val="single"/>
          <w:lang w:val="el" w:eastAsia="el"/>
        </w:rPr>
        <w:t>ΙΙ.ΑΠΟΔΕΚΤΕΣ ΓΙΑ ΕΝΕΡΓΕΙΑ (ΜΕΤΑ ΤΗ ΔΗΜΟΣΙΕΥΣΗ ΣΤΗΝ ΕΦΗΜΕΡΙΔΑ ΤΗΣ ΚΥΒΕΡΝΗΣΕΩΣ)</w:t>
      </w:r>
    </w:p>
    <w:p>
      <w:pPr>
        <w:spacing w:before="240" w:after="240"/>
        <w:rPr>
          <w:lang w:val="el" w:eastAsia="el"/>
        </w:rPr>
      </w:pPr>
      <w:r>
        <w:rPr>
          <w:u w:val="single"/>
          <w:lang w:val="el" w:eastAsia="el"/>
        </w:rPr>
        <w:t xml:space="preserve">1. </w:t>
      </w:r>
      <w:r>
        <w:rPr>
          <w:b/>
          <w:bCs/>
          <w:u w:val="single"/>
          <w:lang w:val="el" w:eastAsia="el"/>
        </w:rPr>
        <w:t>Αποδέκτες Πίνακα Γ΄ (περιπτώσεις 6 και 9)</w:t>
      </w:r>
    </w:p>
    <w:p>
      <w:pPr>
        <w:spacing w:before="240" w:after="240"/>
        <w:rPr>
          <w:lang w:val="el" w:eastAsia="el"/>
        </w:rPr>
      </w:pPr>
      <w:r>
        <w:rPr>
          <w:u w:val="single"/>
          <w:lang w:val="el" w:eastAsia="el"/>
        </w:rPr>
        <w:t xml:space="preserve">2. </w:t>
      </w:r>
      <w:r>
        <w:rPr>
          <w:b/>
          <w:bCs/>
          <w:u w:val="single"/>
          <w:lang w:val="el" w:eastAsia="el"/>
        </w:rPr>
        <w:t>Γ. ΔΗΛΕΔ</w:t>
      </w:r>
    </w:p>
    <w:p>
      <w:pPr>
        <w:spacing w:before="240" w:after="240"/>
        <w:rPr>
          <w:lang w:val="el" w:eastAsia="el"/>
        </w:rPr>
      </w:pPr>
      <w:r>
        <w:rPr>
          <w:u w:val="single"/>
          <w:lang w:val="el" w:eastAsia="el"/>
        </w:rPr>
        <w:t xml:space="preserve">3. </w:t>
      </w:r>
      <w:r>
        <w:rPr>
          <w:b/>
          <w:bCs/>
          <w:u w:val="single"/>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u w:val="single"/>
          <w:lang w:val="el" w:eastAsia="el"/>
        </w:rPr>
        <w:t>ΙΙΙ.ΑΠΟΔΕΚΤΕΣ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w:t>
      </w:r>
    </w:p>
    <w:p>
      <w:pPr>
        <w:spacing w:before="240" w:after="240"/>
        <w:rPr>
          <w:lang w:val="el" w:eastAsia="el"/>
        </w:rPr>
      </w:pPr>
      <w:r>
        <w:rPr>
          <w:u w:val="single"/>
          <w:lang w:val="el" w:eastAsia="el"/>
        </w:rPr>
        <w:t xml:space="preserve">2. </w:t>
      </w:r>
      <w:r>
        <w:rPr>
          <w:b/>
          <w:bCs/>
          <w:u w:val="single"/>
          <w:lang w:val="el" w:eastAsia="el"/>
        </w:rPr>
        <w:t>Γραφείο Υφυπουργού</w:t>
      </w:r>
    </w:p>
    <w:p>
      <w:pPr>
        <w:spacing w:before="240" w:after="240"/>
        <w:rPr>
          <w:lang w:val="el" w:eastAsia="el"/>
        </w:rPr>
      </w:pPr>
      <w:r>
        <w:rPr>
          <w:u w:val="single"/>
          <w:lang w:val="el" w:eastAsia="el"/>
        </w:rPr>
        <w:t xml:space="preserve">3. </w:t>
      </w:r>
      <w:r>
        <w:rPr>
          <w:b/>
          <w:bCs/>
          <w:u w:val="single"/>
          <w:lang w:val="el" w:eastAsia="el"/>
        </w:rPr>
        <w:t>Γραφείο Γενικής Γραμματέως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Β΄ (περίπτωση 3)</w:t>
      </w:r>
    </w:p>
    <w:p>
      <w:pPr>
        <w:spacing w:before="240" w:after="240"/>
        <w:rPr>
          <w:lang w:val="el" w:eastAsia="el"/>
        </w:rPr>
      </w:pPr>
      <w:r>
        <w:rPr>
          <w:u w:val="single"/>
          <w:lang w:val="el" w:eastAsia="el"/>
        </w:rPr>
        <w:t xml:space="preserve">5. </w:t>
      </w:r>
      <w:r>
        <w:rPr>
          <w:b/>
          <w:bCs/>
          <w:u w:val="single"/>
          <w:lang w:val="el" w:eastAsia="el"/>
        </w:rPr>
        <w:t>Αποδέκτες Πίνακα Γ΄ (εκτός περιπτώσεων 6, 9 και 10)</w:t>
      </w:r>
    </w:p>
    <w:p>
      <w:pPr>
        <w:spacing w:before="240" w:after="240"/>
        <w:rPr>
          <w:lang w:val="el" w:eastAsia="el"/>
        </w:rPr>
      </w:pPr>
      <w:r>
        <w:rPr>
          <w:u w:val="single"/>
          <w:lang w:val="el" w:eastAsia="el"/>
        </w:rPr>
        <w:t xml:space="preserve">6. </w:t>
      </w:r>
      <w:r>
        <w:rPr>
          <w:b/>
          <w:bCs/>
          <w:u w:val="single"/>
          <w:lang w:val="el" w:eastAsia="el"/>
        </w:rPr>
        <w:t>Αποδέκτες Πίνακα Ζ΄ (περιπτώσεις 1 και 7)</w:t>
      </w:r>
    </w:p>
    <w:p>
      <w:pPr>
        <w:spacing w:before="240" w:after="240"/>
        <w:rPr>
          <w:lang w:val="el" w:eastAsia="el"/>
        </w:rPr>
      </w:pPr>
      <w:r>
        <w:rPr>
          <w:u w:val="single"/>
          <w:lang w:val="el" w:eastAsia="el"/>
        </w:rPr>
        <w:t xml:space="preserve">7. </w:t>
      </w:r>
      <w:r>
        <w:rPr>
          <w:b/>
          <w:bCs/>
          <w:u w:val="single"/>
          <w:lang w:val="el" w:eastAsia="el"/>
        </w:rPr>
        <w:t>Αποδέκτες Πίνακα Η΄(περιπτώσεις 1 έως και 3, 5 έως και 9)</w:t>
      </w:r>
    </w:p>
    <w:p>
      <w:pPr>
        <w:spacing w:before="240" w:after="240"/>
        <w:rPr>
          <w:lang w:val="el" w:eastAsia="el"/>
        </w:rPr>
      </w:pPr>
      <w:r>
        <w:rPr>
          <w:u w:val="single"/>
          <w:lang w:val="el" w:eastAsia="el"/>
        </w:rPr>
        <w:t xml:space="preserve">8. </w:t>
      </w:r>
      <w:r>
        <w:rPr>
          <w:b/>
          <w:bCs/>
          <w:u w:val="single"/>
          <w:lang w:val="el" w:eastAsia="el"/>
        </w:rPr>
        <w:t>Αποδέκτες Πίνακα Ι΄</w:t>
      </w:r>
    </w:p>
    <w:p>
      <w:pPr>
        <w:spacing w:before="240" w:after="240"/>
        <w:rPr>
          <w:lang w:val="el" w:eastAsia="el"/>
        </w:rPr>
      </w:pPr>
      <w:r>
        <w:rPr>
          <w:u w:val="single"/>
          <w:lang w:val="el" w:eastAsia="el"/>
        </w:rPr>
        <w:t xml:space="preserve">9. </w:t>
      </w:r>
      <w:r>
        <w:rPr>
          <w:b/>
          <w:bCs/>
          <w:u w:val="single"/>
          <w:lang w:val="el" w:eastAsia="el"/>
        </w:rPr>
        <w:t>Αποδέκτες Πίνακα ΙΒ΄ (περίπτωση 11)</w:t>
      </w:r>
    </w:p>
    <w:p>
      <w:pPr>
        <w:spacing w:before="240" w:after="240"/>
        <w:rPr>
          <w:lang w:val="el" w:eastAsia="el"/>
        </w:rPr>
      </w:pPr>
      <w:r>
        <w:rPr>
          <w:u w:val="single"/>
          <w:lang w:val="el" w:eastAsia="el"/>
        </w:rPr>
        <w:t xml:space="preserve">10. </w:t>
      </w:r>
      <w:r>
        <w:rPr>
          <w:b/>
          <w:bCs/>
          <w:u w:val="single"/>
          <w:lang w:val="el" w:eastAsia="el"/>
        </w:rPr>
        <w:t>Αποδέκτες Πίνακα ΙΣΤ΄ (περίπτωση 6)</w:t>
      </w:r>
    </w:p>
    <w:p>
      <w:pPr>
        <w:spacing w:before="240" w:after="240"/>
        <w:rPr>
          <w:lang w:val="el" w:eastAsia="el"/>
        </w:rPr>
      </w:pPr>
      <w:r>
        <w:rPr>
          <w:u w:val="single"/>
          <w:lang w:val="el" w:eastAsia="el"/>
        </w:rPr>
        <w:t xml:space="preserve">11. </w:t>
      </w:r>
      <w:r>
        <w:rPr>
          <w:b/>
          <w:bCs/>
          <w:u w:val="single"/>
          <w:lang w:val="el" w:eastAsia="el"/>
        </w:rPr>
        <w:t>Τράπεζα της Ελλάδος</w:t>
      </w:r>
    </w:p>
    <w:p>
      <w:pPr>
        <w:spacing w:before="240" w:after="240"/>
        <w:rPr>
          <w:lang w:val="el" w:eastAsia="el"/>
        </w:rPr>
      </w:pPr>
      <w:r>
        <w:rPr>
          <w:u w:val="single"/>
          <w:lang w:val="el" w:eastAsia="el"/>
        </w:rPr>
        <w:t xml:space="preserve">IV </w:t>
      </w:r>
      <w:r>
        <w:rPr>
          <w:b/>
          <w:bCs/>
          <w:u w:val="single"/>
          <w:lang w:val="el" w:eastAsia="el"/>
        </w:rPr>
        <w:t>.ΕΣΩΤΕΡΙΚΗ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ΑΑΔΕ</w:t>
      </w:r>
    </w:p>
    <w:p>
      <w:pPr>
        <w:spacing w:before="240" w:after="240"/>
        <w:rPr>
          <w:lang w:val="el" w:eastAsia="el"/>
        </w:rPr>
      </w:pPr>
      <w:r>
        <w:rPr>
          <w:u w:val="single"/>
          <w:lang w:val="el" w:eastAsia="el"/>
        </w:rPr>
        <w:t xml:space="preserve">2. </w:t>
      </w:r>
      <w:r>
        <w:rPr>
          <w:b/>
          <w:bCs/>
          <w:u w:val="single"/>
          <w:lang w:val="el" w:eastAsia="el"/>
        </w:rPr>
        <w:t>Γραφεία Γενικών Διευθυντών</w:t>
      </w:r>
    </w:p>
    <w:p>
      <w:pPr>
        <w:spacing w:before="240" w:after="240"/>
        <w:rPr>
          <w:lang w:val="el" w:eastAsia="el"/>
        </w:rPr>
      </w:pPr>
      <w:r>
        <w:rPr>
          <w:u w:val="single"/>
          <w:lang w:val="el" w:eastAsia="el"/>
        </w:rPr>
        <w:t xml:space="preserve">3. </w:t>
      </w:r>
      <w:r>
        <w:rPr>
          <w:b/>
          <w:bCs/>
          <w:u w:val="single"/>
          <w:lang w:val="el" w:eastAsia="el"/>
        </w:rPr>
        <w:t>Διευθύνσεις, Αυτοτελή Τμήματα και Αυτοτελή Γραφεία της ΓΔΦ</w:t>
      </w:r>
    </w:p>
    <w:p>
      <w:pPr>
        <w:spacing w:before="240" w:after="240"/>
        <w:rPr>
          <w:lang w:val="el" w:eastAsia="el"/>
        </w:rPr>
      </w:pPr>
      <w:r>
        <w:rPr>
          <w:u w:val="single"/>
          <w:lang w:val="el" w:eastAsia="el"/>
        </w:rPr>
        <w:t xml:space="preserve">4. </w:t>
      </w:r>
      <w:r>
        <w:rPr>
          <w:b/>
          <w:bCs/>
          <w:u w:val="single"/>
          <w:lang w:val="el" w:eastAsia="el"/>
        </w:rPr>
        <w:t>Δ/νση Νομικής Υποστήριξης της ΑΑΔΕ</w:t>
      </w:r>
    </w:p>
    <w:p>
      <w:pPr>
        <w:spacing w:before="240" w:after="240"/>
        <w:rPr>
          <w:lang w:val="el" w:eastAsia="el"/>
        </w:rPr>
      </w:pPr>
      <w:r>
        <w:rPr>
          <w:u w:val="single"/>
          <w:lang w:val="el" w:eastAsia="el"/>
        </w:rPr>
        <w:t xml:space="preserve">5. </w:t>
      </w:r>
      <w:r>
        <w:rPr>
          <w:b/>
          <w:bCs/>
          <w:u w:val="single"/>
          <w:lang w:val="el" w:eastAsia="el"/>
        </w:rPr>
        <w:t>Δ/νση Επικοινωνίας</w:t>
      </w:r>
    </w:p>
    <w:p>
      <w:pPr>
        <w:spacing w:before="240" w:after="240"/>
        <w:rPr>
          <w:lang w:val="el" w:eastAsia="el"/>
        </w:rPr>
      </w:pPr>
      <w:r>
        <w:rPr>
          <w:u w:val="single"/>
          <w:lang w:val="el" w:eastAsia="el"/>
        </w:rPr>
        <w:t xml:space="preserve">6. </w:t>
      </w:r>
      <w:r>
        <w:rPr>
          <w:b/>
          <w:bCs/>
          <w:u w:val="single"/>
          <w:lang w:val="el" w:eastAsia="el"/>
        </w:rPr>
        <w:t>Δ/νση Εφαρμογής Φορολογίας Κεφαλαίου και Περιουσιολογίου – Τμήμα Α</w:t>
      </w:r>
    </w:p>
    <w:p>
      <w:pPr>
        <w:spacing w:before="240" w:after="240"/>
        <w:rPr>
          <w:lang w:val="el" w:eastAsia="el"/>
        </w:rPr>
      </w:pPr>
      <w:r>
        <w:rPr>
          <w:u w:val="single"/>
          <w:lang w:val="el" w:eastAsia="el"/>
        </w:rPr>
        <w:t>Ακριβές Αντίγραφο Κεντρικό Πρωτόκολλο ΜΟΣΧΟΒΗΣ ΒΑΣΙΛΕΙΟΣ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