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ΕΦΑΡΜΟΓΗΣ ΕΜΜΕΣΗΣ ΦΟΡΟΛΟΓΙΑΣ</w:t>
      </w:r>
    </w:p>
    <w:p>
      <w:pPr>
        <w:pStyle w:val="Heading1"/>
        <w:spacing w:before="240" w:after="240"/>
        <w:rPr>
          <w:lang w:val="el" w:eastAsia="el"/>
        </w:rPr>
      </w:pPr>
      <w:r>
        <w:rPr>
          <w:b/>
          <w:bCs/>
          <w:lang w:val="el" w:eastAsia="el"/>
        </w:rPr>
        <w:t xml:space="preserve">ΤΜΗΜΑ Α΄ </w:t>
      </w:r>
    </w:p>
    <w:p>
      <w:pPr>
        <w:pStyle w:val="Heading1"/>
        <w:spacing w:before="240" w:after="240"/>
        <w:rPr>
          <w:lang w:val="el" w:eastAsia="el"/>
        </w:rPr>
      </w:pPr>
      <w:r>
        <w:rPr>
          <w:b/>
          <w:bCs/>
          <w:lang w:val="el" w:eastAsia="el"/>
        </w:rPr>
        <w:t>ΦΠΑ</w:t>
      </w:r>
    </w:p>
    <w:p>
      <w:pPr>
        <w:spacing w:before="240" w:after="240"/>
        <w:rPr>
          <w:lang w:val="el" w:eastAsia="el"/>
        </w:rPr>
      </w:pPr>
      <w:r>
        <w:rPr>
          <w:lang w:val="el" w:eastAsia="el"/>
        </w:rPr>
        <w:t>Ταχ. Δ/νση</w:t>
      </w:r>
    </w:p>
    <w:p>
      <w:pPr>
        <w:spacing w:before="240" w:after="240"/>
        <w:rPr>
          <w:lang w:val="el" w:eastAsia="el"/>
        </w:rPr>
      </w:pPr>
      <w:r>
        <w:rPr>
          <w:lang w:val="el" w:eastAsia="el"/>
        </w:rPr>
        <w:t>Ταχ. Κώδικας</w:t>
      </w:r>
    </w:p>
    <w:p>
      <w:pPr>
        <w:spacing w:before="240" w:after="240"/>
        <w:rPr>
          <w:lang w:val="el" w:eastAsia="el"/>
        </w:rPr>
      </w:pPr>
      <w:r>
        <w:rPr>
          <w:lang w:val="el" w:eastAsia="el"/>
        </w:rPr>
        <w:t>Τηλέφωνο</w:t>
      </w:r>
    </w:p>
    <w:p>
      <w:pPr>
        <w:spacing w:before="240" w:after="240"/>
        <w:rPr>
          <w:lang w:val="el" w:eastAsia="el"/>
        </w:rPr>
      </w:pPr>
      <w:r>
        <w:rPr>
          <w:lang w:val="el" w:eastAsia="el"/>
        </w:rPr>
        <w:t>Fax</w:t>
      </w:r>
    </w:p>
    <w:p>
      <w:pPr>
        <w:spacing w:before="240" w:after="240"/>
        <w:rPr>
          <w:lang w:val="el" w:eastAsia="el"/>
        </w:rPr>
      </w:pPr>
      <w:r>
        <w:rPr>
          <w:lang w:val="el" w:eastAsia="el"/>
        </w:rPr>
        <w:t>E-Mail</w:t>
      </w:r>
    </w:p>
    <w:p>
      <w:pPr>
        <w:spacing w:before="240" w:after="240"/>
        <w:rPr>
          <w:lang w:val="el" w:eastAsia="el"/>
        </w:rPr>
      </w:pPr>
      <w:r>
        <w:rPr>
          <w:lang w:val="el" w:eastAsia="el"/>
        </w:rPr>
        <w:t>Url</w:t>
      </w:r>
    </w:p>
    <w:p>
      <w:pPr>
        <w:spacing w:before="240" w:after="240"/>
        <w:rPr>
          <w:lang w:val="el" w:eastAsia="el"/>
        </w:rPr>
      </w:pPr>
      <w:r>
        <w:rPr>
          <w:lang w:val="el" w:eastAsia="el"/>
        </w:rPr>
        <w:t xml:space="preserve">Σίνα 2-4 10672 Αθήνα 2132122400 2103645413 </w:t>
      </w:r>
      <w:hyperlink r:id="rId4" w:history="1">
        <w:r>
          <w:rPr>
            <w:rStyle w:val="Hyperlink"/>
            <w:color w:val="0000EE"/>
            <w:u w:color="0000EE"/>
            <w:lang w:val="el" w:eastAsia="el"/>
          </w:rPr>
          <w:t>deef.a@aade.gr</w:t>
        </w:r>
      </w:hyperlink>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ΘΕΜΑ: «Συμπληρωματικές οδηγίες για την διαδικασία εφαρμογής της απόφασης ΣτΕ 355/2019 στις περιπτώσεις υποκειμένων-εκδοτών τιμολογίων που καλύπτονται από την απόφαση 8/16.1.2017 του Πολυμελούς Πρωτοδικείου Αθηνών, όπως έχει διορθωθεί και ισχύει».</w:t>
      </w:r>
    </w:p>
    <w:p>
      <w:pPr>
        <w:spacing w:before="240" w:after="240"/>
        <w:rPr>
          <w:lang w:val="el" w:eastAsia="el"/>
        </w:rPr>
      </w:pPr>
      <w:r>
        <w:rPr>
          <w:lang w:val="el" w:eastAsia="el"/>
        </w:rPr>
        <w:t>1. Με την Οδηγία ΔΕΕΦ Α 1165616/2019 δόθηκαν οδηγίες για την διαδικασία εφαρμογής της απόφασης ΣτΕ 355/2019 στις περιπτώσεις υποκειμένων-εκδοτών τιμολογίων που καλύπτονται από την απόφαση 8/16.1.2017 του Πολυμελούς Πρωτοδικείου Αθηνών περί επικύρωσης της συμφωνίας εξυγίανσης των εταιριών που περιλαμβάνονται στην εν λόγω απόφαση.</w:t>
      </w:r>
    </w:p>
    <w:p>
      <w:pPr>
        <w:spacing w:before="240" w:after="240"/>
        <w:rPr>
          <w:lang w:val="el" w:eastAsia="el"/>
        </w:rPr>
      </w:pPr>
      <w:r>
        <w:rPr>
          <w:lang w:val="el" w:eastAsia="el"/>
        </w:rPr>
        <w:t>2. Στην εν λόγω Οδηγία και στο μέρος Α προβλέπεται ότι οι υποκείμενοι (εκδότες των τιμολογίων) που καταλαμβάνονται από την απόφαση του Πολυμελούς Πρωτοδικείου μπορούν να ακολουθήσουν αναλογικά τη διαδικασία του άρθρου 19 παρ. 5</w:t>
      </w:r>
      <w:r>
        <w:rPr>
          <w:sz w:val="30"/>
          <w:szCs w:val="30"/>
          <w:vertAlign w:val="superscript"/>
          <w:lang w:val="el" w:eastAsia="el"/>
        </w:rPr>
        <w:t>α</w:t>
      </w:r>
      <w:r>
        <w:rPr>
          <w:lang w:val="el" w:eastAsia="el"/>
        </w:rPr>
        <w:t xml:space="preserve"> του Κώδικα ΦΠΑ (ν. 2859/2000), </w:t>
      </w:r>
      <w:r>
        <w:rPr>
          <w:b/>
          <w:bCs/>
          <w:lang w:val="el" w:eastAsia="el"/>
        </w:rPr>
        <w:t>εφόσον δεν έχουν ασκήσει προσφυγή στο δικαστήριο</w:t>
      </w:r>
      <w:r>
        <w:rPr>
          <w:lang w:val="el" w:eastAsia="el"/>
        </w:rPr>
        <w:t>.</w:t>
      </w:r>
    </w:p>
    <w:p>
      <w:pPr>
        <w:spacing w:before="240" w:after="240"/>
        <w:rPr>
          <w:lang w:val="el" w:eastAsia="el"/>
        </w:rPr>
      </w:pPr>
      <w:r>
        <w:rPr>
          <w:lang w:val="el" w:eastAsia="el"/>
        </w:rPr>
        <w:t>3. Διευκρινίζεται ότι η οδηγία ΔΕΕΦ Α 1165616/2019 εφαρμόζεται και στις περιπτώσεις επιχειρήσεων-υποκειμένων (εκδοτών-τιμολογίων) που υποβάλουν αίτηση έχοντας παραιτηθεί από το ένδικο βοήθημα της προσφυγής που είχαν ασκήσει στα αρμόδια Διοικητικά Δικαστήρια, καθώς στην περίπτωση αυτή εξομοιώνονται επί της ουσίας με τις επιχειρήσεις που δεν έχουν ασκήσει προσφυγή.</w:t>
      </w:r>
    </w:p>
    <w:p>
      <w:pPr>
        <w:spacing w:before="240" w:after="240"/>
        <w:rPr>
          <w:lang w:val="el" w:eastAsia="el"/>
        </w:rPr>
      </w:pPr>
      <w:r>
        <w:rPr>
          <w:lang w:val="el" w:eastAsia="el"/>
        </w:rPr>
        <w:t xml:space="preserve">Στις περιπτώσεις αυτές, </w:t>
      </w:r>
      <w:r>
        <w:rPr>
          <w:b/>
          <w:bCs/>
          <w:lang w:val="el" w:eastAsia="el"/>
        </w:rPr>
        <w:t xml:space="preserve">εφόσον οι εν λόγω επιχειρήσεις έχουν παραιτηθεί της προσφυγής που έχουν ασκήσει, σύμφωνα με το άρθρο 143 του ΚΔΔ (ν. 2717/1999), μπορούν να ακολουθήσουν την διαδικασία που περιγράφεται στην Ο ΔΕΕΦ Α 1165616/2019. </w:t>
      </w:r>
      <w:r>
        <w:rPr>
          <w:lang w:val="el" w:eastAsia="el"/>
        </w:rPr>
        <w:t>Στην περίπτωση αυτή το δικαιολογητικό που πρέπει να προσκομίζεται, αντί της βεβαίωσης περί μη άσκησης προσφυγής, είναι το αποδεικτικό υποβολής στο Δικαστήριο της σχετικής παραίτησης.</w:t>
      </w:r>
    </w:p>
    <w:p>
      <w:pPr>
        <w:spacing w:before="240" w:after="240"/>
        <w:rPr>
          <w:lang w:val="el" w:eastAsia="el"/>
        </w:rPr>
      </w:pPr>
      <w:r>
        <w:rPr>
          <w:lang w:val="el" w:eastAsia="el"/>
        </w:rPr>
        <w:t>4. Οι αιτήσεις περί μείωσης της φορολογητέας βάσης και τα συναφή δικαιολογητικά, όπως αναφέρονται στην Ο ΔΕΕΦ Α 1165616/2019 και στην παρούσα</w:t>
      </w:r>
      <w:r>
        <w:rPr>
          <w:b/>
          <w:bCs/>
          <w:lang w:val="el" w:eastAsia="el"/>
        </w:rPr>
        <w:t xml:space="preserve">, </w:t>
      </w:r>
      <w:r>
        <w:rPr>
          <w:lang w:val="el" w:eastAsia="el"/>
        </w:rPr>
        <w:t>αποστέλλονται υποχρεωτικά (με φυσικό φάκελο) ταχυδρομικά μέσω συστημένης επιστολής ή με υπηρεσία ταχυμεταφοράς ή με ψηφιακή απεικόνιση (scan) μέσω μηνύματος ηλεκτρονικού ταχυδρομείου στον Προϊστάμενο της αρμόδιας υπηρεσίας της Ανεξάρτητης Αρχής Δημοσίων Εσόδων. Είναι, επίσης, δυνατή η υποβολή των αιτήσεων και προς το γραφείο πρωτοκόλλου της αρμόδιας υπηρεσίας, εντός φακέλου, σύμφωνα με τις οδηγίες λειτουργίας των υπηρεσιών της ΑΑΔΕ, όπως ισχύουν κάθε φορά. Ο κατάλογος των διευθύνσεων ηλεκτρονικού ταχυδρομείου των αρμοδίων υπηρεσιών της ΑΑΔΕ για την αποστολή των ως άνω μηνυμάτων δημοσιοποιείται στην ιστοσελίδα της ΑΑΔΕ (www. aade.gr).</w:t>
      </w:r>
    </w:p>
    <w:p>
      <w:pPr>
        <w:spacing w:before="240" w:after="240"/>
        <w:rPr>
          <w:lang w:val="el" w:eastAsia="el"/>
        </w:rPr>
      </w:pPr>
      <w:r>
        <w:rPr>
          <w:b/>
          <w:bCs/>
          <w:lang w:val="el" w:eastAsia="el"/>
        </w:rPr>
        <w:t>Ο ΔΙΟΙΚΗΤΗΣ ΤΗΣ ΑΝΕΞΑΡΤΗΤΗΣ ΑΡΧΗΣΔΗΜΟΣΙΩΝ ΕΣΟΔΩΝΓ.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Αποδέκτες Πίνακα Γ μόνο ο αριθ. 5 (όλες οι Δ.Ο.Υ.)</w:t>
      </w:r>
    </w:p>
    <w:p>
      <w:pPr>
        <w:spacing w:before="240" w:after="240"/>
        <w:rPr>
          <w:lang w:val="el" w:eastAsia="el"/>
        </w:rPr>
      </w:pPr>
      <w:r>
        <w:rPr>
          <w:b/>
          <w:bCs/>
          <w:lang w:val="el" w:eastAsia="el"/>
        </w:rPr>
        <w:t>ΙΙ. ΕΣΩΤΕΡΙΚΗ ΔΙΑΝΟΜΗ</w:t>
      </w:r>
    </w:p>
    <w:p>
      <w:pPr>
        <w:spacing w:before="240" w:after="240"/>
        <w:rPr>
          <w:lang w:val="el" w:eastAsia="el"/>
        </w:rPr>
      </w:pPr>
      <w:r>
        <w:rPr>
          <w:lang w:val="el" w:eastAsia="el"/>
        </w:rPr>
        <w:t>1. Γραφείο Διοικητή</w:t>
      </w:r>
    </w:p>
    <w:p>
      <w:pPr>
        <w:spacing w:before="240" w:after="240"/>
        <w:rPr>
          <w:lang w:val="el" w:eastAsia="el"/>
        </w:rPr>
      </w:pPr>
      <w:r>
        <w:rPr>
          <w:lang w:val="el" w:eastAsia="el"/>
        </w:rPr>
        <w:t>2. Γραφείο Γενικής Διευθύντριας Φορολογικής Διοίκησης</w:t>
      </w:r>
    </w:p>
    <w:p>
      <w:pPr>
        <w:spacing w:before="240" w:after="240"/>
        <w:rPr>
          <w:lang w:val="el" w:eastAsia="el"/>
        </w:rPr>
      </w:pPr>
      <w:r>
        <w:rPr>
          <w:lang w:val="el" w:eastAsia="el"/>
        </w:rPr>
        <w:t>3. Διεύθυνση Νομικής Υποστήριξης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ef.a@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