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των άρθρων 44 και 45 του ν. 5013/2023 με τίτλο «Πολυεπίπεδη διακυβέρνηση, διαχείριση κινδύνων στον δημόσιο τομέα και άλλες διατάξεις» (Α΄12/19.01.2023)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ΠΕΡΙΛΗΨΗ ΟΔΗΓΙΑΣ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Α) ΑΝΤΙΚΕΙΜΕΝΟ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άρθρων 44 και 45 του ν. 5013/2023 (Α΄ 12/19.01.2023).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κάτωθι άρθρων του ν. 5013/2023: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lang w:val="el" w:eastAsia="el"/>
        </w:rPr>
        <w:t>Άρθρο 44 (παρ. 1 και 2): «Χρηματοδότηση φορέων του αθλητισμού -Τροποποίηση παρ. 2 άρθρου 60 ν. 2961/2001 και παρ. 2 άρθρου δέκατου έκτου ν. 4787/2021».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b/>
          <w:bCs/>
          <w:lang w:val="el" w:eastAsia="el"/>
        </w:rPr>
        <w:t>Άρθρο 45 : «Έναρξη ισχύος».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lang w:val="el" w:eastAsia="el"/>
        </w:rPr>
        <w:t>Άρθρο 44 (παρ. 1 και 2): Αφορά τη χρηματοδότηση αθλητικών ομάδων και την επιχορήγηση των Ειδικών Επιτροπών του άρθρου 53 του ν. 2725/1999 (Α΄121) σύμφωνα με την παρ.2 του άρθρου 60 του ν. 2961/2001 και την παρ. 2 του άρθρου δέκατου έκτου του ν. 4787/2021 (Α΄44).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b/>
          <w:bCs/>
          <w:lang w:val="el" w:eastAsia="el"/>
        </w:rPr>
        <w:t>Άρθρο 45: Αφορά την έναρξη ισχύος των διατάξεων του νόμου.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 για ενημέρωση και εφαρμογή τις διατάξεις των άρθρων 44 και 45 του ν. 5013/2023, ως ακολούθως: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«Χρηματοδότηση φορέων του αθλητισμού - Τροποποίηση παρ. 2 άρθρου 60 ν. 2961/2001 και παρ. 2 άρθρου δέκατου έκτου ν. 4787/2021»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παρ. 1 του άρθρου 44 του κοινοποιούμενου νόμου τροποποιείται το πρώτο εδάφιο της παρ. 2 του άρθρου 60 του ν. 2961/2001 (Α΄266), με την προσθήκη των Ειδικών Επιτροπών του άρθρου 53 του ν. 2725/1999 (Α΄121) στους φορείς που χρηματοδοτούνται από ποσοστό των εσόδων από τον φόρο τυχερών παιγνίων.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Ειδικότερα η παρ. 2 του άρθρου 60 του ν. 2961/2001 (Α΄266) διαμορφώνεται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«2. Ποσοστό των εσόδων από τις κατηγορίες φόρων των περ. β) και δ) της παρ. 1 χρησιμοποιείται για τη χρηματοδότηση αθλητικών ομάδων και την επιχορήγηση των Ειδικών Επιτροπών του άρθρου 53 του ν. 2725/1999 (Α΄ 121), κατόπιν κοινής απόφασης των Υπουργών Οικονομικών και Πολιτισμού και Αθλητισμού. Με την ίδια απόφαση δύναται να καθορίζονται οι δικαιούχοι, ο τρόπος κατανομής της εν λόγω χρηματοδότησης και κάθε άλλη αναγκαία λεπτομέρεια.».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παρ. 2 του άρθρου 44 του κοινοποιούμενου νόμου τροποποιείται η παρ. 2 του άρθρου δέκατου έκτου του ν. 4787/2021 (Α΄44), με την προσθήκη των Ειδικών Επιτροπών του άρθρου 53 του ν. 2725/1999 (Α΄121) στους φορείς που εντάσσονται στο πεδίο εφαρμογής της, και η παρ. 2 διαμορφώνεται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«2. Κατ’ εξαίρεση για τα έτη 2021, 2022 και 2023 το ποσοστό των εσόδων που χρησιμοποιείται για τη χρηματοδότηση αθλητικών ομάδων, σύμφωνα με την παρ. 2 του άρθρου 60 του ν. 2961/2001, και την επιχορήγηση των Ειδικών Επιτροπών του άρθρου 53 του ν. 2725/1999 (Α‘ 121), είναι ακατάσχετο στα χέρια του Δημοσίου ή τρίτων, κατά παρέκκλιση κάθε γενικής και ειδικής διάταξης, δεν υπόκεινται σε οποιαδήποτε κράτηση, τέλος ή εισφορά, δεν δεσμεύεται και δεν συμψηφίζεται με βεβαιωμένα χρέη προς τη Φορολογική Διοίκηση και το Δημόσιο εν γένει, τους δήμους, τις περιφέρειες, τα ασφαλιστικά ταμεία ή τα πιστωτικά ιδρύματα.».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45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«Έναρξη ισχύος»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το άρθρο 45 του κοινοποιούμενου νόμου ορίζεται ότι η ισχύς του αρχίζει από τη δημοσίευσή του στην Εφημερίδα της Κυβερνήσεως, ήτοι από 19.01.2023.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 Απόσπασμα του ΦΕΚ Α΄12/19.01.2023 με τις διατάξεις των άρθρων 44 και 45 του ν. 5013/2023.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 &amp; Δ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Δ/νση Στρατηγικής Τεχνολογιών Πληροφορικής (με την παράκληση να αναρτηθεί στο διαδικτυακό τόπο της Α.Α.Δ.Ε.)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Γενική Διεύθυνση Ηλεκτρονικής Διακυβέρνησης ΑΑΔΕ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b/>
          <w:bCs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3) </w:t>
      </w:r>
      <w:r>
        <w:rPr>
          <w:b/>
          <w:bCs/>
          <w:lang w:val="el" w:eastAsia="el"/>
        </w:rPr>
        <w:t>Γενική Γραμματεία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4) </w:t>
      </w:r>
      <w:r>
        <w:rPr>
          <w:b/>
          <w:bCs/>
          <w:lang w:val="el" w:eastAsia="el"/>
        </w:rPr>
        <w:t>Αποδέκτες πίνακα Α, Β, Ε, ΣΤ, Ζ, Η, Θ (εκτός Εθνικού Τυπογραφείου), Ι, ΙΒ, ΙΔ, ΙΕ, ΙΣΤ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5) </w:t>
      </w:r>
      <w:r>
        <w:rPr>
          <w:b/>
          <w:bCs/>
          <w:lang w:val="el" w:eastAsia="el"/>
        </w:rPr>
        <w:t>Αυτοτελές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1)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</w:t>
      </w:r>
      <w:r>
        <w:rPr>
          <w:b/>
          <w:bCs/>
          <w:lang w:val="el" w:eastAsia="el"/>
        </w:rPr>
        <w:t>Γραφεία κ.κ. Προϊσταμένων Γενικών Διευθύνσεων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3) </w:t>
      </w:r>
      <w:r>
        <w:rPr>
          <w:b/>
          <w:bCs/>
          <w:lang w:val="el" w:eastAsia="el"/>
        </w:rPr>
        <w:t>Δ/νση Εισπράξεων και Επιστροφών- Τμήματα Α΄, Β΄,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4) </w:t>
      </w:r>
      <w:r>
        <w:rPr>
          <w:b/>
          <w:bCs/>
          <w:lang w:val="el" w:eastAsia="el"/>
        </w:rPr>
        <w:t>Διεύθυνση Εφαρμογής Φορολογίας Κεφαλαίου και Περιουσιολογίου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5) </w:t>
      </w:r>
      <w:r>
        <w:rPr>
          <w:b/>
          <w:bCs/>
          <w:lang w:val="el" w:eastAsia="el"/>
        </w:rPr>
        <w:t>Διεύθυνση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