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63ΛΗ46Μ</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II. ΔΙΕΥΘΥΝΣΗ ΔΙΑΔΙΚΑΣΙΩΝ ΕΙΣΠΡΑΞΕΩΝ ΚΑΙ ΕΠΙΣΤΡΟΦΩΝ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09"/>
        <w:gridCol w:w="3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ΤΜΗΜΑΤΑ Α΄, Β΄ Ταχ. Δ/νση Ταχ. Κώδικας</w:t>
            </w:r>
          </w:p>
          <w:p>
            <w:pPr>
              <w:spacing w:before="240" w:after="240"/>
              <w:rPr>
                <w:b w:val="0"/>
                <w:bCs w:val="0"/>
                <w:i w:val="0"/>
                <w:iCs w:val="0"/>
                <w:smallCaps w:val="0"/>
                <w:color w:val="000000"/>
                <w:lang w:val="el" w:eastAsia="el"/>
              </w:rPr>
            </w:pPr>
            <w:r>
              <w:rPr>
                <w:b/>
                <w:bCs/>
                <w:i w:val="0"/>
                <w:iCs w:val="0"/>
                <w:smallCaps w:val="0"/>
                <w:color w:val="000000"/>
                <w:lang w:val="el" w:eastAsia="el"/>
              </w:rPr>
              <w:t>Τηλέφωνο</w:t>
            </w:r>
          </w:p>
          <w:p>
            <w:pPr>
              <w:spacing w:before="240" w:after="240"/>
              <w:rPr>
                <w:b w:val="0"/>
                <w:bCs w:val="0"/>
                <w:i w:val="0"/>
                <w:iCs w:val="0"/>
                <w:smallCaps w:val="0"/>
                <w:color w:val="000000"/>
                <w:lang w:val="el" w:eastAsia="el"/>
              </w:rPr>
            </w:pPr>
            <w:r>
              <w:rPr>
                <w:b/>
                <w:bCs/>
                <w:i w:val="0"/>
                <w:iCs w:val="0"/>
                <w:smallCaps w:val="0"/>
                <w:color w:val="000000"/>
                <w:lang w:val="el" w:eastAsia="el"/>
              </w:rPr>
              <w:t>Email</w:t>
            </w:r>
          </w:p>
          <w:p>
            <w:pPr>
              <w:spacing w:before="240"/>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Πανεπιστημίου 20</w:t>
            </w:r>
          </w:p>
          <w:p>
            <w:pPr>
              <w:spacing w:before="240" w:after="240"/>
              <w:rPr>
                <w:b w:val="0"/>
                <w:bCs w:val="0"/>
                <w:i w:val="0"/>
                <w:iCs w:val="0"/>
                <w:smallCaps w:val="0"/>
                <w:color w:val="000000"/>
                <w:lang w:val="el" w:eastAsia="el"/>
              </w:rPr>
            </w:pPr>
            <w:r>
              <w:rPr>
                <w:b/>
                <w:bCs/>
                <w:i w:val="0"/>
                <w:iCs w:val="0"/>
                <w:smallCaps w:val="0"/>
                <w:color w:val="000000"/>
                <w:lang w:val="el" w:eastAsia="el"/>
              </w:rPr>
              <w:t>: 10672, Αθήνα</w:t>
            </w:r>
          </w:p>
          <w:p>
            <w:pPr>
              <w:spacing w:before="240" w:after="240"/>
              <w:rPr>
                <w:b w:val="0"/>
                <w:bCs w:val="0"/>
                <w:i w:val="0"/>
                <w:iCs w:val="0"/>
                <w:smallCaps w:val="0"/>
                <w:color w:val="000000"/>
                <w:lang w:val="el" w:eastAsia="el"/>
              </w:rPr>
            </w:pPr>
            <w:r>
              <w:rPr>
                <w:b/>
                <w:bCs/>
                <w:i w:val="0"/>
                <w:iCs w:val="0"/>
                <w:smallCaps w:val="0"/>
                <w:color w:val="000000"/>
                <w:lang w:val="el" w:eastAsia="el"/>
              </w:rPr>
              <w:t>: 2103605159, 3614280</w:t>
            </w:r>
          </w:p>
          <w:p>
            <w:pPr>
              <w:spacing w:before="240" w:after="240"/>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deispraxeon@aade.gr</w:t>
              </w:r>
            </w:hyperlink>
          </w:p>
          <w:p>
            <w:pPr>
              <w:spacing w:before="240"/>
              <w:rPr>
                <w:b w:val="0"/>
                <w:bCs w:val="0"/>
                <w:i w:val="0"/>
                <w:iCs w:val="0"/>
                <w:smallCaps w:val="0"/>
                <w:color w:val="000000"/>
                <w:lang w:val="el" w:eastAsia="el"/>
              </w:rPr>
            </w:pPr>
            <w:r>
              <w:rPr>
                <w:b/>
                <w:bCs/>
                <w:i w:val="0"/>
                <w:iCs w:val="0"/>
                <w:smallCaps w:val="0"/>
                <w:color w:val="000000"/>
                <w:lang w:val="el" w:eastAsia="el"/>
              </w:rPr>
              <w:t xml:space="preserve">: </w:t>
            </w:r>
            <w:hyperlink r:id="rId5" w:history="1">
              <w:r>
                <w:rPr>
                  <w:rStyle w:val="Hyperlink"/>
                  <w:b/>
                  <w:bCs/>
                  <w:i w:val="0"/>
                  <w:iCs w:val="0"/>
                  <w:smallCaps w:val="0"/>
                  <w:color w:val="0000EE"/>
                  <w:u w:color="0000EE"/>
                  <w:lang w:val="el" w:eastAsia="el"/>
                </w:rPr>
                <w:t>www.aade.gr</w:t>
              </w:r>
            </w:hyperlink>
          </w:p>
        </w:tc>
      </w:tr>
    </w:tbl>
    <w:p>
      <w:pPr>
        <w:pStyle w:val="PreambelText"/>
        <w:spacing w:before="240" w:after="240"/>
        <w:rPr>
          <w:lang w:val="el" w:eastAsia="el"/>
        </w:rPr>
      </w:pPr>
      <w:r>
        <w:rPr>
          <w:b/>
          <w:bCs/>
          <w:lang w:val="el" w:eastAsia="el"/>
        </w:rPr>
        <w:t>III. ΔΙΕΥΘΥΝΣΗ ΕΦΑΡΜΟΓΗΣ ΕΜΜΕΣΗΣ ΦΟΡΟΛΟΓΙΑΣ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04"/>
        <w:gridCol w:w="22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ΤΜΗΜΑΤΑ Α΄, Β΄ Ταχ. Δ/νση Ταχ. Κώδ. Τηλέφωνο</w:t>
            </w:r>
          </w:p>
          <w:p>
            <w:pPr>
              <w:spacing w:before="240" w:after="240"/>
              <w:rPr>
                <w:b w:val="0"/>
                <w:bCs w:val="0"/>
                <w:i w:val="0"/>
                <w:iCs w:val="0"/>
                <w:smallCaps w:val="0"/>
                <w:color w:val="000000"/>
                <w:lang w:val="el" w:eastAsia="el"/>
              </w:rPr>
            </w:pPr>
            <w:r>
              <w:rPr>
                <w:b/>
                <w:bCs/>
                <w:i w:val="0"/>
                <w:iCs w:val="0"/>
                <w:smallCaps w:val="0"/>
                <w:color w:val="000000"/>
                <w:lang w:val="el" w:eastAsia="el"/>
              </w:rPr>
              <w:t>E-Mail</w:t>
            </w:r>
          </w:p>
          <w:p>
            <w:pPr>
              <w:spacing w:before="240"/>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Σίνα 2-4</w:t>
            </w:r>
          </w:p>
          <w:p>
            <w:pPr>
              <w:spacing w:before="240" w:after="240"/>
              <w:rPr>
                <w:b w:val="0"/>
                <w:bCs w:val="0"/>
                <w:i w:val="0"/>
                <w:iCs w:val="0"/>
                <w:smallCaps w:val="0"/>
                <w:color w:val="000000"/>
                <w:lang w:val="el" w:eastAsia="el"/>
              </w:rPr>
            </w:pPr>
            <w:r>
              <w:rPr>
                <w:b/>
                <w:bCs/>
                <w:i w:val="0"/>
                <w:iCs w:val="0"/>
                <w:smallCaps w:val="0"/>
                <w:color w:val="000000"/>
                <w:lang w:val="el" w:eastAsia="el"/>
              </w:rPr>
              <w:t>10672, Αθήνα</w:t>
            </w:r>
          </w:p>
          <w:p>
            <w:pPr>
              <w:spacing w:before="240" w:after="240"/>
              <w:rPr>
                <w:b w:val="0"/>
                <w:bCs w:val="0"/>
                <w:i w:val="0"/>
                <w:iCs w:val="0"/>
                <w:smallCaps w:val="0"/>
                <w:color w:val="000000"/>
                <w:lang w:val="el" w:eastAsia="el"/>
              </w:rPr>
            </w:pPr>
            <w:r>
              <w:rPr>
                <w:b/>
                <w:bCs/>
                <w:i w:val="0"/>
                <w:iCs w:val="0"/>
                <w:smallCaps w:val="0"/>
                <w:color w:val="000000"/>
                <w:lang w:val="el" w:eastAsia="el"/>
              </w:rPr>
              <w:t>: 2132122416</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 </w:t>
            </w:r>
            <w:hyperlink r:id="rId6" w:history="1">
              <w:r>
                <w:rPr>
                  <w:rStyle w:val="Hyperlink"/>
                  <w:b/>
                  <w:bCs/>
                  <w:i w:val="0"/>
                  <w:iCs w:val="0"/>
                  <w:smallCaps w:val="0"/>
                  <w:color w:val="0000EE"/>
                  <w:u w:color="0000EE"/>
                  <w:lang w:val="el" w:eastAsia="el"/>
                </w:rPr>
                <w:t>deef@aade.gr</w:t>
              </w:r>
            </w:hyperlink>
          </w:p>
          <w:p>
            <w:pPr>
              <w:spacing w:before="240"/>
              <w:rPr>
                <w:b w:val="0"/>
                <w:bCs w:val="0"/>
                <w:i w:val="0"/>
                <w:iCs w:val="0"/>
                <w:smallCaps w:val="0"/>
                <w:color w:val="000000"/>
                <w:lang w:val="el" w:eastAsia="el"/>
              </w:rPr>
            </w:pPr>
            <w:r>
              <w:rPr>
                <w:b/>
                <w:bCs/>
                <w:i w:val="0"/>
                <w:iCs w:val="0"/>
                <w:smallCaps w:val="0"/>
                <w:color w:val="000000"/>
                <w:lang w:val="el" w:eastAsia="el"/>
              </w:rPr>
              <w:t xml:space="preserve">: </w:t>
            </w:r>
            <w:hyperlink r:id="rId7" w:history="1">
              <w:r>
                <w:rPr>
                  <w:rStyle w:val="Hyperlink"/>
                  <w:b/>
                  <w:bCs/>
                  <w:i w:val="0"/>
                  <w:iCs w:val="0"/>
                  <w:smallCaps w:val="0"/>
                  <w:color w:val="0000EE"/>
                  <w:u w:color="0000EE"/>
                  <w:lang w:val="el" w:eastAsia="el"/>
                </w:rPr>
                <w:t>www.aade.gr</w:t>
              </w:r>
            </w:hyperlink>
          </w:p>
        </w:tc>
      </w:tr>
    </w:tbl>
    <w:p>
      <w:pPr>
        <w:pStyle w:val="PreambelText"/>
        <w:spacing w:before="240" w:after="240"/>
        <w:rPr>
          <w:lang w:val="el" w:eastAsia="el"/>
        </w:rPr>
      </w:pPr>
      <w:r>
        <w:rPr>
          <w:b/>
          <w:bCs/>
          <w:lang w:val="el" w:eastAsia="el"/>
        </w:rPr>
        <w:t>IV. ΔΙΕΥΘΥΝΣΗ ΕΛΕΓΚΤΙΚΩΝ ΔΙΑΔΙΚΑΣΙΩΝ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76"/>
        <w:gridCol w:w="33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ΤΜΗΜΑ Γ΄ Ταχ. Δ/νση Ταχ. Κώδ. Τηλέφωνο E-Mail</w:t>
            </w:r>
          </w:p>
          <w:p>
            <w:pPr>
              <w:spacing w:before="240"/>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Χανδρή 1 &amp; Θεσσαλονίκης</w:t>
            </w:r>
          </w:p>
          <w:p>
            <w:pPr>
              <w:spacing w:before="240" w:after="240"/>
              <w:rPr>
                <w:b w:val="0"/>
                <w:bCs w:val="0"/>
                <w:i w:val="0"/>
                <w:iCs w:val="0"/>
                <w:smallCaps w:val="0"/>
                <w:color w:val="000000"/>
                <w:lang w:val="el" w:eastAsia="el"/>
              </w:rPr>
            </w:pPr>
            <w:r>
              <w:rPr>
                <w:b/>
                <w:bCs/>
                <w:i w:val="0"/>
                <w:iCs w:val="0"/>
                <w:smallCaps w:val="0"/>
                <w:color w:val="000000"/>
                <w:lang w:val="el" w:eastAsia="el"/>
              </w:rPr>
              <w:t>: 18346, Μοσχάτο</w:t>
            </w:r>
          </w:p>
          <w:p>
            <w:pPr>
              <w:spacing w:before="240" w:after="240"/>
              <w:rPr>
                <w:b w:val="0"/>
                <w:bCs w:val="0"/>
                <w:i w:val="0"/>
                <w:iCs w:val="0"/>
                <w:smallCaps w:val="0"/>
                <w:color w:val="000000"/>
                <w:lang w:val="el" w:eastAsia="el"/>
              </w:rPr>
            </w:pPr>
            <w:r>
              <w:rPr>
                <w:b/>
                <w:bCs/>
                <w:i w:val="0"/>
                <w:iCs w:val="0"/>
                <w:smallCaps w:val="0"/>
                <w:color w:val="000000"/>
                <w:lang w:val="el" w:eastAsia="el"/>
              </w:rPr>
              <w:t>: 2104802275</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 </w:t>
            </w:r>
            <w:hyperlink r:id="rId8" w:history="1">
              <w:r>
                <w:rPr>
                  <w:rStyle w:val="Hyperlink"/>
                  <w:b/>
                  <w:bCs/>
                  <w:i w:val="0"/>
                  <w:iCs w:val="0"/>
                  <w:smallCaps w:val="0"/>
                  <w:color w:val="0000EE"/>
                  <w:u w:color="0000EE"/>
                  <w:lang w:val="el" w:eastAsia="el"/>
                </w:rPr>
                <w:t>dieldi@aade.gr</w:t>
              </w:r>
            </w:hyperlink>
          </w:p>
          <w:p>
            <w:pPr>
              <w:spacing w:before="240"/>
              <w:rPr>
                <w:b w:val="0"/>
                <w:bCs w:val="0"/>
                <w:i w:val="0"/>
                <w:iCs w:val="0"/>
                <w:smallCaps w:val="0"/>
                <w:color w:val="000000"/>
                <w:lang w:val="el" w:eastAsia="el"/>
              </w:rPr>
            </w:pPr>
            <w:r>
              <w:rPr>
                <w:b/>
                <w:bCs/>
                <w:i w:val="0"/>
                <w:iCs w:val="0"/>
                <w:smallCaps w:val="0"/>
                <w:color w:val="000000"/>
                <w:lang w:val="el" w:eastAsia="el"/>
              </w:rPr>
              <w:t xml:space="preserve">: </w:t>
            </w:r>
            <w:hyperlink r:id="rId9" w:history="1">
              <w:r>
                <w:rPr>
                  <w:rStyle w:val="Hyperlink"/>
                  <w:b/>
                  <w:bCs/>
                  <w:i w:val="0"/>
                  <w:iCs w:val="0"/>
                  <w:smallCaps w:val="0"/>
                  <w:color w:val="0000EE"/>
                  <w:u w:color="0000EE"/>
                  <w:lang w:val="el" w:eastAsia="el"/>
                </w:rPr>
                <w:t>www.aade.gr</w:t>
              </w:r>
            </w:hyperlink>
          </w:p>
        </w:tc>
      </w:tr>
    </w:tbl>
    <w:p>
      <w:pPr>
        <w:pStyle w:val="PreambelText"/>
        <w:spacing w:before="240" w:after="240"/>
        <w:rPr>
          <w:lang w:val="el" w:eastAsia="el"/>
        </w:rPr>
      </w:pPr>
      <w:r>
        <w:rPr>
          <w:b/>
          <w:bCs/>
          <w:lang w:val="el" w:eastAsia="el"/>
        </w:rPr>
        <w:t>ΘΕΜΑ: Κοινοποίηση των διατάξεων των άρθρων 69, 72 και 73 του ν. 5016/2023 (Α’ 21/04.02.2023) «Διεθνής Εμπορική Διαιτησία - Ρυθμίσεις για τη λειτουργία του Ελεγκτικού Συνεδρίου και λοιπές επείγουσες διατάξεις».</w:t>
      </w:r>
    </w:p>
    <w:p>
      <w:pPr>
        <w:pStyle w:val="enacting"/>
        <w:spacing w:before="120" w:after="0"/>
        <w:rPr>
          <w:lang w:val="el" w:eastAsia="el"/>
        </w:rPr>
      </w:pPr>
      <w:r>
        <w:rPr>
          <w:b/>
          <w:bCs/>
          <w:lang w:val="el" w:eastAsia="el"/>
        </w:rPr>
        <w:t>ΠΕΡΙΛΗΨΗ</w:t>
      </w:r>
      <w:r>
        <w:rPr>
          <w:lang w:val="el" w:eastAsia="el"/>
        </w:rPr>
        <w:br/>
      </w:r>
      <w:r>
        <w:rPr>
          <w:b/>
          <w:bCs/>
          <w:lang w:val="el" w:eastAsia="el"/>
        </w:rPr>
        <w:t>Α) ΑΝΤΙΚΕΙΜΕΝΟ</w:t>
      </w:r>
    </w:p>
    <w:p>
      <w:pPr>
        <w:pStyle w:val="PreambelText"/>
        <w:spacing w:before="240" w:after="240"/>
        <w:rPr>
          <w:lang w:val="el" w:eastAsia="el"/>
        </w:rPr>
      </w:pPr>
      <w:r>
        <w:rPr>
          <w:b/>
          <w:bCs/>
          <w:lang w:val="el" w:eastAsia="el"/>
        </w:rPr>
        <w:t>Κοινοποίηση των διατάξεων των άρθρων 69, 72 και 73 του ν. 5016/2023 (Α’ 21) «Διεθνής Εμπορική Διαιτησία - Ρυθμίσεις για τη λειτουργία του Ελεγκτικού Συνεδρίου και λοιπές επείγουσες διατάξεις».</w:t>
      </w:r>
    </w:p>
    <w:p>
      <w:pPr>
        <w:pStyle w:val="enacting"/>
        <w:spacing w:before="120" w:after="0"/>
        <w:rPr>
          <w:lang w:val="el" w:eastAsia="el"/>
        </w:rPr>
      </w:pPr>
      <w:r>
        <w:rPr>
          <w:b/>
          <w:bCs/>
          <w:lang w:val="el" w:eastAsia="el"/>
        </w:rPr>
        <w:t>Β)ΠΕΡΙΕΧΟΜΕΝΟ</w:t>
      </w:r>
    </w:p>
    <w:p>
      <w:pPr>
        <w:pStyle w:val="PreambelText"/>
        <w:spacing w:before="240" w:after="240"/>
        <w:rPr>
          <w:lang w:val="el" w:eastAsia="el"/>
        </w:rPr>
      </w:pPr>
      <w:r>
        <w:rPr>
          <w:b/>
          <w:bCs/>
          <w:lang w:val="el" w:eastAsia="el"/>
        </w:rPr>
        <w:t>Κοινοποίηση των διατάξεων των κάτωθι άρθρων:</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«Διαδικασία εκκαθάρισης και πληρωμής αποζημιώσεων δικηγόρων νομικής βοήθειας που προκύπτουν από ειδικά γραμμάτια που έχουν εκδοθεί από 1.1.2019 έως 31.12.2022».</w:t>
      </w:r>
    </w:p>
    <w:p>
      <w:pPr>
        <w:pStyle w:val="Heading6"/>
        <w:spacing w:before="240" w:after="240"/>
        <w:rPr>
          <w:lang w:val="el" w:eastAsia="el"/>
        </w:rPr>
      </w:pPr>
      <w:r>
        <w:rPr>
          <w:b/>
          <w:bCs/>
          <w:lang w:val="el" w:eastAsia="el"/>
        </w:rPr>
        <w:t xml:space="preserve">Άρθρο72 </w:t>
      </w:r>
    </w:p>
    <w:p>
      <w:pPr>
        <w:pStyle w:val="Heading6"/>
        <w:spacing w:before="240" w:after="240"/>
        <w:rPr>
          <w:lang w:val="el" w:eastAsia="el"/>
        </w:rPr>
      </w:pPr>
      <w:r>
        <w:rPr>
          <w:b/>
          <w:bCs/>
          <w:lang w:val="el" w:eastAsia="el"/>
        </w:rPr>
        <w:t>«Αφορολόγητο, ακατάσχετο και ανεκχώρητο ενίσχυσης βάσει του Μέτρου 22 «Έκτακτη προσωρινή στήριξη σε γεωργούς και ΜΜΕ που πλήττονται ιδιαίτερα από τις επιπτώσεις της ρωσικής εισβολής στην Ουκρανία»».</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Το άρθρο 69 αφορά τους δικηγόρους και συγκεκριμένα τη διαδικασία εκκαθάρισης και πληρωμής αποζημίωσης λόγω παροχής υπηρεσιών νομικής βοήθειας που προκύπτουν από ειδικά γραμμάτια που έχουν εκδοθεί από 01.01.2019 έως και 31.12.2022.</w:t>
      </w:r>
    </w:p>
    <w:p>
      <w:pPr>
        <w:spacing w:before="240" w:after="240"/>
        <w:rPr>
          <w:lang w:val="el" w:eastAsia="el"/>
        </w:rPr>
      </w:pPr>
      <w:r>
        <w:rPr>
          <w:b/>
          <w:bCs/>
          <w:lang w:val="el" w:eastAsia="el"/>
        </w:rPr>
        <w:t>Το άρθρο 72 αφορά τους γεωργούς και τις ΜΜΕ που πλήττονται ιδιαίτερα από τις επιπτώσεις της ρωσικής εισβολής στην Ουκρανία.</w:t>
      </w:r>
    </w:p>
    <w:p>
      <w:pPr>
        <w:spacing w:before="240" w:after="240"/>
        <w:rPr>
          <w:lang w:val="el" w:eastAsia="el"/>
        </w:rPr>
      </w:pPr>
      <w:r>
        <w:rPr>
          <w:b/>
          <w:bCs/>
          <w:lang w:val="el" w:eastAsia="el"/>
        </w:rPr>
        <w:t>Το άρθρο 73 αφορά την έναρξη ισχύος του κοινοποιούμενου νόμου.</w:t>
      </w:r>
    </w:p>
    <w:p>
      <w:pPr>
        <w:spacing w:before="240" w:after="240"/>
        <w:rPr>
          <w:lang w:val="el" w:eastAsia="el"/>
        </w:rPr>
      </w:pPr>
      <w:r>
        <w:rPr>
          <w:b/>
          <w:bCs/>
          <w:lang w:val="el" w:eastAsia="el"/>
        </w:rPr>
        <w:t>Σας κοινοποιούμε συνημμένα για ενημέρωση και εφαρμογή τις διατάξεις των άρθρων 69, 72 και 73 του ν. 5016/2023 με τίτλο «Διεθνής Εμπορική Διαιτησία - Ρυθμίσεις για τη λειτουργία του Ελεγκτικού Συνεδρίου και λοιπές επείγουσες διατάξεις» (Α’ 21), ως ακολούθως: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«Διαδικασία εκκαθάρισης και πληρωμής αποζημιώσεων δικηγόρων νομικής βοήθειας που προκύπτουν από ειδικά γραμμάτια που έχουν εκδοθεί από 1.1.2019 έως 31.12.2022»</w:t>
      </w:r>
    </w:p>
    <w:p>
      <w:pPr>
        <w:spacing w:before="240" w:after="240"/>
        <w:rPr>
          <w:lang w:val="el" w:eastAsia="el"/>
        </w:rPr>
      </w:pPr>
      <w:r>
        <w:rPr>
          <w:b/>
          <w:bCs/>
          <w:lang w:val="el" w:eastAsia="el"/>
        </w:rPr>
        <w:t>Με το άρθρο 69 του κοινοποιούμενου νόμου ορίζεται η διαδικασία εκκαθάρισης - πληρωμής και τα δικαιολογητικά που απαιτούνται για την αποζημίωση των δικηγόρων νομικής βοήθειας, οι οποίοι παρείχαν υπηρεσίες στο πλαίσιο του συστήματος νομικής βοήθειας σύμφωνα με τα άρθρα 1 έως και 12 του ν. 3226/2004 (Α’ 24), για τις οποίες έχουν εκδοθεί ειδικά γραμμάτια βάσει των διατάξεων του Κώδικα Δικηγόρων ν. 4194/2013 (Α’ 208), κατά το χρονικό διάστημα από 01.01.2019 έως 31.12.2022. Ειδικότερα, σύμφωνα με την παρ. 1 του κοινοποιούμενου άρθρου η εκκαθάριση αυτή δύναται να διενεργείται και με χρηματικά εντάλματα πληρωμής που εκδίδονται από το «Ταμείο Χρηματοδότησης Δικαστικών Κτιρίων» (ΤΑ.ΧΔΙ.Κ), ανά δικηγορικό σύλλογο.</w:t>
      </w:r>
    </w:p>
    <w:p>
      <w:pPr>
        <w:spacing w:before="240" w:after="240"/>
        <w:rPr>
          <w:lang w:val="el" w:eastAsia="el"/>
        </w:rPr>
      </w:pPr>
      <w:r>
        <w:rPr>
          <w:b/>
          <w:bCs/>
          <w:lang w:val="el" w:eastAsia="el"/>
        </w:rPr>
        <w:t xml:space="preserve">Κατά την παρ. 2 </w:t>
      </w:r>
    </w:p>
    <w:p>
      <w:pPr>
        <w:spacing w:before="240" w:after="240"/>
        <w:rPr>
          <w:lang w:val="el" w:eastAsia="el"/>
        </w:rPr>
      </w:pPr>
      <w:r>
        <w:rPr>
          <w:b/>
          <w:bCs/>
          <w:lang w:val="el" w:eastAsia="el"/>
        </w:rPr>
        <w:t xml:space="preserve">του κοινοποιούμενου άρθρου τα χρηματικά εντάλματα αυτά εκδίδονται σύμφωνα μεπίνακα δικαιούχων και οφειλόμενων αποζημιώσεων, που υποβάλλεται από την Ολομέλεια τωνΠροέδρων των Δικηγορικών Συλλόγων της Ελλάδος προς το ΤΑ.Χ.ΔΙ.Κ.. </w:t>
      </w:r>
    </w:p>
    <w:p>
      <w:pPr>
        <w:spacing w:before="240" w:after="240"/>
        <w:rPr>
          <w:lang w:val="el" w:eastAsia="el"/>
        </w:rPr>
      </w:pPr>
      <w:r>
        <w:rPr>
          <w:b/>
          <w:bCs/>
          <w:lang w:val="el" w:eastAsia="el"/>
        </w:rPr>
        <w:t>Στον πίνακα προσδιορίζεται για2</w:t>
      </w:r>
    </w:p>
    <w:p>
      <w:pPr>
        <w:spacing w:before="240" w:after="240"/>
        <w:rPr>
          <w:lang w:val="el" w:eastAsia="el"/>
        </w:rPr>
      </w:pPr>
      <w:r>
        <w:rPr>
          <w:b/>
          <w:bCs/>
          <w:lang w:val="el" w:eastAsia="el"/>
        </w:rPr>
        <w:t>κάθε δικαιούχο το σύνολο των ειδικών γραμματίων που εκδόθηκαν από τον οικείο δικηγορικό σύλλογο, το συνολικό ποσό αμοιβής που προκύπτει από τα ως άνω ειδικά γραμμάτια, η προκαταβολή φόρου που προβλέπεται στην παρ. 5 του άρθρου 69 του Κώδικα Φορολογίας Εισοδήματος [ν. 4172/2013, (Α’ 167)], οι εισφορές υπέρ του Ηλεκτρονικού Εθνικού Φορέα Κοινωνικής Ασφάλισης (e-ΕΦΚΑ) οι κρατήσεις που προβλέπονται στα άρθρα 61 και 62 του Κώδικα Δικηγόρων και το πληρωτέο ποσό.</w:t>
      </w:r>
    </w:p>
    <w:p>
      <w:pPr>
        <w:spacing w:before="240" w:after="240"/>
        <w:rPr>
          <w:lang w:val="el" w:eastAsia="el"/>
        </w:rPr>
      </w:pPr>
      <w:r>
        <w:rPr>
          <w:b/>
          <w:bCs/>
          <w:lang w:val="el" w:eastAsia="el"/>
        </w:rPr>
        <w:t>Σύμφωνα με την παρ. 3 του κοινοποιούμενου άρθρου η εξόφληση γίνεται με πίστωση των τραπεζικών λογαριασμών των δικαιούχων, κατόπιν υπεύθυνων δηλώσεών τους, που διαβιβάζονται στο ΤΑ.Χ.ΔΙ.Κ. ανά δικηγορικό σύλλογο από την Ολομέλεια των Προέδρων των Δικηγορικών Συλλόγων Ελλάδος, εντός προθεσμίας δύο (2) μηνών από τη διαβίβασή τους. Στην υπεύθυνη δήλωση οι δικαιούχοι δηλώνουν: α) ότι έχουν υποβάλει στο ΤΑ.Χ.ΔΙ.Κ., αα) τις σχετικές πράξεις διορισμού δικηγόρου νομικής βοήθειας, αβ) τα ειδικά γραμμάτια που έχουν εκδοθεί από τους οικείους δικηγορικούς συλλόγους, αγ) τις βεβαιώσεις των αρμοδίων δικαστικών ή άλλων αρχών σχετικά με την εκπλήρωση των καθηκόντων του δικηγόρου νομικής βοήθειας, β) ότι δεν έχουν εισπράξει αποζημίωση για νομική βοήθεια που να προκύπτει από ειδικό γραμμάτιο που περιλαμβάνεται στον πίνακα του πρώτου εδαφίου της παρ. 2, γ) τα στοιχεία του τιμολογίου, αν έχει ήδη εκδοθεί, δ) την Τράπεζα και τον τραπεζικό λογαριασμό σε μορφή Διεθνούς Τραπεζικού Λογαριασμού (IBAN), συμπεριλαμβανομένης και σχετικής αποτύπωσης του από την Τράπεζα, όπως η πρώτη σελίδα βιβλιαρίου τράπεζας ή απεικόνιση μέσω λογαριασμού ηλεκτρονικής τραπεζικής ή άλλο σχετικό έγγραφο. Εφόσον διαβιβαστούν στο ΤΑ.Χ.ΔΙ.Κ. οι ως άνω υπεύθυνες δηλώσεις με τις συνημμένες αποτυπώσεις τραπεζικών λογαριασμών γίνεται η καταβολή του ογδόντα τοις εκατό (80%) του συνολικού ποσού αμοιβής των ειδικών γραμματίων που προκύπτει από τον πίνακα δικαιούχων και οφειλόμενων αποζημιώσεων της παρ. 2 του κοινοποιούμενου άρθρου πλέον ΦΠΑ, εφόσον ο δικαιούχος δεν τυγχάνει απαλλαγής ΦΠΑ, αφού αφαιρεθούν ο φόρος που αναλογεί και οι νόμιμες εισφορές και κρατήσεις στο σύνολό τους [εισφορές υπέρ e-ΕΦΚΑ, κρατήσεις υπέρ Δικηγορικών Συλλόγων και κατ’ άρθρο 29 του ν. 4596/2019 (Α’ 32)].</w:t>
      </w:r>
    </w:p>
    <w:p>
      <w:pPr>
        <w:spacing w:before="240" w:after="240"/>
        <w:rPr>
          <w:lang w:val="el" w:eastAsia="el"/>
        </w:rPr>
      </w:pPr>
      <w:r>
        <w:rPr>
          <w:b/>
          <w:bCs/>
          <w:lang w:val="el" w:eastAsia="el"/>
        </w:rPr>
        <w:t>Σύμφωνα με την παρ. 4 του κοινοποιούμενου άρθρου τα καταβαλλόμενα βάσει της παρούσας ποσά είναι ακατάσχετα στα χέρια του Δημοσίου ή τρίτων, κατά παρέκκλιση κάθε αντίθετης γενικής ή ειδικής διάταξης, δεν δεσμεύονται και δεν συμψηφίζονται με βεβαιωμένα χρέη προς το Δημόσιο, τα νομικά πρόσωπα δημοσίου δικαίου (Ν.Π.Δ.Δ.), τους οργανισμούς τοπικής αυτοδιοίκησης (Ο.Τ.Α.) και τα νομικά πρόσωπά τους, τα ασφαλιστικά ταμεία και τα πιστωτικά ιδρύματα ή τρίτους.</w:t>
      </w:r>
    </w:p>
    <w:p>
      <w:pPr>
        <w:spacing w:before="240" w:after="240"/>
        <w:rPr>
          <w:lang w:val="el" w:eastAsia="el"/>
        </w:rPr>
      </w:pPr>
      <w:r>
        <w:rPr>
          <w:b/>
          <w:bCs/>
          <w:lang w:val="el" w:eastAsia="el"/>
        </w:rPr>
        <w:t>Κατά την παρ. 5 του κοινοποιούμενου άρθρου, εφόσον δεν έχει εκδοθεί το οικείο φορολογικό παραστατικό, αυτό εκδίδεται στο ογδόντα τοις εκατό (80%) του συνολικού ποσού της αμοιβής των ως άνω ειδικών γραμματίων, αμέσως μετά από την είσπραξη της αποζημίωσης σύμφωνα με το τελευταίο εδάφιο της παρ. 3, και διαβιβάζεται εντός προθεσμίας δεκαπέντε (15) ημερών με ηλεκτρονικά μέσα στο ΤΑ.Χ.ΔΙ.Κ., όταν αυτό εκδίδεται ηλεκτρονικά μέσω της Ανεξάρτητης Αρχής Δημοσίων Εσόδων (Α.Α.Δ.Ε.) ή, σε διαφορετική περίπτωση, προσκομίζεται το πρωτότυπο στο ΤΑ.Χ.ΔΙ.Κ., το οποίο προβαίνει στην απόδοση του συνόλου των εισφορών και των κρατήσεων, καθώς και του φόρου που αντιστοιχεί στην αποζημίωση που καταβλήθηκε. Αν δεν διαβιβαστεί στο ΤΑ.Χ.ΔΙ.Κ. το οικείο φορολογικό παραστατικό: α) δεν αποδίδονται από το ΤΑ.Χ.ΔΙ.Κ. οι εισφορές και κρατήσεις, καθώς και ο φόρος που αναλογεί στο ποσό που καταβλήθηκε, β) ο λήπτης της αποζημίωσης καλείται να επιστρέψει αυτήν στο ΤΑ.Χ.ΔΙ.Κ. και αν παραλείψει να το πράξει, το ποσό της αποζημίωσης που έλαβε βεβαιώνεται σε βάρος του στην Α.Α.Δ.Ε. σύμφωνα με τις διατάξεις του Κώδικα Είσπραξης Δημοσίων Εσόδων [ν. 4978/2022, (Α’ 190)]. Για την εφαρμογή του δεύτερου εδαφίου το ΤΑ.Χ.ΔΙ.Κ. αποστέλλει χρηματικό κατάλογο στην Α.Α.Δ.Ε.</w:t>
      </w:r>
    </w:p>
    <w:p>
      <w:pPr>
        <w:spacing w:before="240" w:after="240"/>
        <w:rPr>
          <w:lang w:val="el" w:eastAsia="el"/>
        </w:rPr>
      </w:pPr>
      <w:r>
        <w:rPr>
          <w:b/>
          <w:bCs/>
          <w:lang w:val="el" w:eastAsia="el"/>
        </w:rPr>
        <w:t>Σύμφωνα με την παρ. 6 του κοινοποιούμενου άρθρου, ως προς το υπόλοιπο είκοσι τοις εκατό (20%) μετά του αναλογούντος ΦΠΑ τηρείται η διαδικασία του άρθρου 12 του ν. 3226/2004, με έκδοση του προβλεπόμενου φορολογικού παραστατικού. Για όσο χρονικό διάστημα εκκρεμεί η διαδικασία</w:t>
      </w:r>
    </w:p>
    <w:p>
      <w:pPr>
        <w:spacing w:before="240" w:after="240"/>
        <w:rPr>
          <w:lang w:val="el" w:eastAsia="el"/>
        </w:rPr>
      </w:pPr>
      <w:r>
        <w:rPr>
          <w:b/>
          <w:bCs/>
          <w:lang w:val="el" w:eastAsia="el"/>
        </w:rPr>
        <w:t>εκκαθάρισης και απόδοσης του είκοσι τοις εκατό (20%), μετά του αναλογούντος ΦΠΑ, αναστέλλεται η παραγραφή του δικαιώματος είσπραξης του δικαιούχου. Αν κατά τον έλεγχο της παρούσας διαπιστωθεί ότι έλαβε χώρα καταβολή του ογδόντα τοις εκατό (80%) χωρίς να τηρούνται οι ως άνω αναφερόμενες προϋποθέσεις, ο λήπτης της αποζημίωσης καλείται να επιστρέψει αυτήν στο ΤΑ.Χ.ΔΙ.Κ. εντός είκοσι (20) ημερών και αν παραλείψει να το πράξει, το ποσό της αποζημίωσης που έλαβε βεβαιώνεται σε βάρος του στην Α.Α.Δ.Ε. σύμφωνα με τις διατάξεις του Κώδικα Είσπραξης Δημοσίων Εσόδων [ν. 4978/2022 (Α’ 190)]. Για την εφαρμογή του εδαφίου αυτού το ΤΑ.Χ.ΔΙ.Κ. αποστέλλει χρηματικό κατάλογο στην Α.Α.Δ.Ε.</w:t>
      </w:r>
    </w:p>
    <w:p>
      <w:pPr>
        <w:spacing w:before="240" w:after="240"/>
        <w:rPr>
          <w:lang w:val="el" w:eastAsia="el"/>
        </w:rPr>
      </w:pPr>
      <w:r>
        <w:rPr>
          <w:b/>
          <w:bCs/>
          <w:lang w:val="el" w:eastAsia="el"/>
        </w:rPr>
        <w:t>Σύμφωνα με την παρ. 7 του κοινοποιούμενου άρθρου οι υπηρετούντες στο ΤΑ.Χ.ΔΙ.Κ. υπάλληλοι απαλλάσσονται από κάθε ευθύνη σχετικά με την εφαρμογή της διαδικασίας εκκαθάρισης και πληρωμής, εφόσον τηρηθούν οι ως άνω αναφερόμενοι όροι και προϋποθέσεις.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«Αφορολόγητο, ακατάσχετο και ανεκχώρητο ενίσχυσης βάσει του Μέτρου 22 «Έκτακτη προσωρινή στήριξη σε γεωργούς και ΜΜΕ που πλήττονται ιδιαίτερα από τις επιπτώσεις της ρωσικής εισβολής στην Ουκρανία»»</w:t>
      </w:r>
    </w:p>
    <w:p>
      <w:pPr>
        <w:spacing w:before="240" w:after="240"/>
        <w:rPr>
          <w:lang w:val="el" w:eastAsia="el"/>
        </w:rPr>
      </w:pPr>
      <w:r>
        <w:rPr>
          <w:b/>
          <w:bCs/>
          <w:lang w:val="el" w:eastAsia="el"/>
        </w:rPr>
        <w:t>Με το άρθρο 72 του κοινοποιούμενου νόμου ορίζεται ότι η ενίσχυση που λαμβάνουν οι δικαιούχοι βάσει του Μέτρου 22 «Έκτακτη προσωρινή στήριξη σε γεωργούς και ΜΜΕ που πλήττονται ιδιαίτερα από τις επιπτώσεις της ρωσικής εισβολής στην Ουκρανία» είναι αφορολόγητη, ακατάσχετη και ανεκχώρητη στα χέρια του Δημοσίου ή τρίτων, κατά παρέκκλιση κάθε άλλης γενικής ή ειδικής διάταξης, μη εφαρμοζόμενης της παρ. 1 του άρθρου 47 του Κώδικα Φορολογίας Εισοδήματος (ν. 4172/2013, Α’ 167) σε περίπτωση διανομής ή κεφαλαιοποίησής της, δεν υπόκειται σε οποιοδήποτε τέλος, εισφορά ή άλλη κράτηση υπέρ του Δημοσίου, δεν δεσμεύεται και δεν συμψηφίζεται με βεβαιωμένα χρέη στη Φορολογική Διοίκηση και το Δημόσιο εν γένει, τα νομικά πρόσωπα δημοσίου δικαίου, τους Οργανισμούς Τοπικής Αυτοδιοίκησης και τα νομικά πρόσωπά τους, τα ασφαλιστικά ταμεία ή πιστωτικά ιδρύματα και δεν υπολογίζεται στα εισοδηματικά όρια για την καταβολή οποιασδήποτε παροχής κοινωνικού ή προνοιακού χαρακτήρα. Κατά τα λοιπά, εφαρμόζεται το άρθρο 61 του ν. 4914/2022 (Α’ 61).</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Με την παρ. 1 του άρθρου 73 του κοινοποιούμενου νόμου ορίζεται ότι με την επιφύλαξη της παρ. 2, η ισχύς του αρχίζει από τη δημοσίευσή του στην Εφημερίδα της Κυβερνήσεως, ήτοι από 4-02-2023, εκτός αν ορίζεται διαφορετικά στις επιμέρους διατάξεις του.</w:t>
      </w:r>
    </w:p>
    <w:p>
      <w:pPr>
        <w:spacing w:before="240" w:after="240"/>
        <w:rPr>
          <w:lang w:val="el" w:eastAsia="el"/>
        </w:rPr>
      </w:pPr>
      <w:r>
        <w:rPr>
          <w:b/>
          <w:bCs/>
          <w:lang w:val="el" w:eastAsia="el"/>
        </w:rPr>
        <w:t>Ο ΔΙΟΙΚΗΤΗΣ ΤΗΣ ΑΑΔΕ α/α</w:t>
      </w:r>
    </w:p>
    <w:p>
      <w:pPr>
        <w:spacing w:before="240" w:after="240"/>
        <w:rPr>
          <w:lang w:val="el" w:eastAsia="el"/>
        </w:rPr>
      </w:pPr>
      <w:r>
        <w:rPr>
          <w:b/>
          <w:bCs/>
          <w:lang w:val="el" w:eastAsia="el"/>
        </w:rPr>
        <w:t>ΓΕΩΡΓΙΟΣ ΦΑΚΟΣ (ΔΔΑΔ Γ 1021773 ΕΞ 2023/16—2-2023)</w:t>
      </w:r>
    </w:p>
    <w:p>
      <w:pPr>
        <w:spacing w:before="240" w:after="240"/>
        <w:rPr>
          <w:lang w:val="el" w:eastAsia="el"/>
        </w:rPr>
      </w:pPr>
      <w:r>
        <w:rPr>
          <w:b/>
          <w:bCs/>
          <w:lang w:val="el" w:eastAsia="el"/>
        </w:rPr>
        <w:t>Συνημμένα: Απόσπασμα του ΦΕΚ Α΄21/04.02.2023 που περιλαμβάνει τα κοινοποιούμενα άρθρα του ν. 5016/2023.</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lang w:val="el" w:eastAsia="el"/>
        </w:rPr>
        <w:t xml:space="preserve"> </w:t>
      </w:r>
      <w:r>
        <w:rPr>
          <w:b/>
          <w:bCs/>
          <w:lang w:val="el" w:eastAsia="el"/>
        </w:rPr>
        <w:t>Ηλεκτρονική Βιβλιοθήκη</w:t>
      </w:r>
    </w:p>
    <w:p>
      <w:pPr>
        <w:spacing w:before="240" w:after="240"/>
        <w:rPr>
          <w:lang w:val="el" w:eastAsia="el"/>
        </w:rPr>
      </w:pPr>
      <w:r>
        <w:rPr>
          <w:b/>
          <w:bCs/>
          <w:lang w:val="el" w:eastAsia="el"/>
        </w:rPr>
        <w:t>ΙΙ.ΑΠΟΔΕΚΤΕΣ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Υπουργού Οικονομικών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Υφυπουργού Οικονομικών</w:t>
      </w:r>
    </w:p>
    <w:p>
      <w:pPr>
        <w:pStyle w:val="MainText"/>
        <w:spacing w:before="120" w:after="0"/>
        <w:rPr>
          <w:lang w:val="el" w:eastAsia="el"/>
        </w:rPr>
      </w:pPr>
      <w:r>
        <w:rPr>
          <w:b/>
          <w:bCs/>
          <w:lang w:val="el" w:eastAsia="el"/>
        </w:rPr>
        <w:t>3.</w:t>
      </w:r>
      <w:r>
        <w:rPr>
          <w:lang w:val="el" w:eastAsia="el"/>
        </w:rPr>
        <w:t xml:space="preserve"> </w:t>
      </w:r>
      <w:r>
        <w:rPr>
          <w:b/>
          <w:bCs/>
          <w:lang w:val="el" w:eastAsia="el"/>
        </w:rPr>
        <w:t>Γραφείο Γενικού Γραμματέα Φορολογικής Πολιτικής και Δημόσιας Περιουσίας</w:t>
      </w:r>
    </w:p>
    <w:p>
      <w:pPr>
        <w:pStyle w:val="MainText"/>
        <w:spacing w:before="120" w:after="0"/>
        <w:rPr>
          <w:lang w:val="el" w:eastAsia="el"/>
        </w:rPr>
      </w:pPr>
      <w:r>
        <w:rPr>
          <w:b/>
          <w:bCs/>
          <w:lang w:val="el" w:eastAsia="el"/>
        </w:rPr>
        <w:t>4.</w:t>
      </w:r>
      <w:r>
        <w:rPr>
          <w:lang w:val="el" w:eastAsia="el"/>
        </w:rPr>
        <w:t xml:space="preserve"> </w:t>
      </w:r>
      <w:r>
        <w:rPr>
          <w:b/>
          <w:bCs/>
          <w:lang w:val="el" w:eastAsia="el"/>
        </w:rPr>
        <w:t>Αποδέκτες Πίνακα Α΄ (εκτός των αριθμών 2 και 3 αυτού)</w:t>
      </w:r>
    </w:p>
    <w:p>
      <w:pPr>
        <w:pStyle w:val="MainText"/>
        <w:spacing w:before="120" w:after="0"/>
        <w:rPr>
          <w:lang w:val="el" w:eastAsia="el"/>
        </w:rPr>
      </w:pPr>
      <w:r>
        <w:rPr>
          <w:b/>
          <w:bCs/>
          <w:lang w:val="el" w:eastAsia="el"/>
        </w:rPr>
        <w:t>5.</w:t>
      </w:r>
      <w:r>
        <w:rPr>
          <w:lang w:val="el" w:eastAsia="el"/>
        </w:rPr>
        <w:t xml:space="preserve"> </w:t>
      </w:r>
      <w:r>
        <w:rPr>
          <w:b/>
          <w:bCs/>
          <w:lang w:val="el" w:eastAsia="el"/>
        </w:rPr>
        <w:t>Αποδέκτες Πίνακα Β΄</w:t>
      </w:r>
    </w:p>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Εφαρμογής Άμεσης Φορολογίας</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Διεύθυνση Διαδικασιών Εισπράξεων και Επιστροφών</w:t>
      </w:r>
    </w:p>
    <w:p>
      <w:pPr>
        <w:pStyle w:val="MainText"/>
        <w:spacing w:before="120" w:after="0"/>
        <w:rPr>
          <w:lang w:val="el" w:eastAsia="el"/>
        </w:rPr>
      </w:pPr>
      <w:r>
        <w:rPr>
          <w:b/>
          <w:bCs/>
          <w:lang w:val="el" w:eastAsia="el"/>
        </w:rPr>
        <w:t>6.</w:t>
      </w:r>
      <w:r>
        <w:rPr>
          <w:lang w:val="el" w:eastAsia="el"/>
        </w:rPr>
        <w:t xml:space="preserve"> </w:t>
      </w:r>
      <w:r>
        <w:rPr>
          <w:b/>
          <w:bCs/>
          <w:lang w:val="el" w:eastAsia="el"/>
        </w:rPr>
        <w:t>Διεύθυνση Εφαρμογής Έμμεσης Φορολογίας</w:t>
      </w:r>
    </w:p>
    <w:p>
      <w:pPr>
        <w:pStyle w:val="MainText"/>
        <w:spacing w:before="120" w:after="0"/>
        <w:rPr>
          <w:lang w:val="el" w:eastAsia="el"/>
        </w:rPr>
      </w:pPr>
      <w:r>
        <w:rPr>
          <w:b/>
          <w:bCs/>
          <w:lang w:val="el" w:eastAsia="el"/>
        </w:rPr>
        <w:t>7.</w:t>
      </w:r>
      <w:r>
        <w:rPr>
          <w:lang w:val="el" w:eastAsia="el"/>
        </w:rPr>
        <w:t xml:space="preserve"> </w:t>
      </w:r>
      <w:r>
        <w:rPr>
          <w:b/>
          <w:bCs/>
          <w:lang w:val="el" w:eastAsia="el"/>
        </w:rPr>
        <w:t>Διεύθυνση Ελεγκτικών Διαδικασιών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ispraxeon@aade.gr" TargetMode="External" /><Relationship Id="rId5" Type="http://schemas.openxmlformats.org/officeDocument/2006/relationships/hyperlink" Target="http://www.aade.gr" TargetMode="External" /><Relationship Id="rId6" Type="http://schemas.openxmlformats.org/officeDocument/2006/relationships/hyperlink" Target="mailto:deef@aade.gr" TargetMode="External" /><Relationship Id="rId7" Type="http://schemas.openxmlformats.org/officeDocument/2006/relationships/hyperlink" Target="http://www.aade.gr" TargetMode="External" /><Relationship Id="rId8" Type="http://schemas.openxmlformats.org/officeDocument/2006/relationships/hyperlink" Target="mailto:dieldi@aade.gr" TargetMode="External" /><Relationship Id="rId9" Type="http://schemas.openxmlformats.org/officeDocument/2006/relationships/hyperlink" Target="http://www.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