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I. </w:t>
      </w:r>
      <w:r>
        <w:rPr>
          <w:b/>
          <w:bCs/>
          <w:lang w:val="el" w:eastAsia="el"/>
        </w:rPr>
        <w:t>ΔΙΕΥΘΥΝΣΗ ΔΙΑΔΙΚΑΣΙΩΝ ΕΙΣΠΡΑΞΕΩΝ ΚΑΙ ΕΠΙΣΤΡΟΦΩΝ</w:t>
      </w:r>
    </w:p>
    <w:p>
      <w:pPr>
        <w:pStyle w:val="PreambelText"/>
        <w:spacing w:before="240" w:after="240"/>
        <w:rPr>
          <w:lang w:val="el" w:eastAsia="el"/>
        </w:rPr>
      </w:pPr>
      <w:r>
        <w:rPr>
          <w:b/>
          <w:bCs/>
          <w:lang w:val="el" w:eastAsia="el"/>
        </w:rPr>
        <w:t>ΤΜΗΜΑΤΑ Α΄,Β΄</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Τηλέφωνο : 2103614280,</w:t>
      </w:r>
    </w:p>
    <w:p>
      <w:pPr>
        <w:pStyle w:val="PreambelText"/>
        <w:spacing w:before="240" w:after="240"/>
        <w:rPr>
          <w:lang w:val="el" w:eastAsia="el"/>
        </w:rPr>
      </w:pPr>
      <w:r>
        <w:rPr>
          <w:b/>
          <w:bCs/>
          <w:lang w:val="el" w:eastAsia="el"/>
        </w:rPr>
        <w:t>2103605159</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deispraxeon@aade.gr</w:t>
        </w:r>
      </w:hyperlink>
    </w:p>
    <w:p>
      <w:pPr>
        <w:pStyle w:val="PreambelText"/>
        <w:spacing w:before="240" w:after="240"/>
        <w:rPr>
          <w:lang w:val="el" w:eastAsia="el"/>
        </w:rPr>
      </w:pPr>
      <w:r>
        <w:rPr>
          <w:b/>
          <w:bCs/>
          <w:lang w:val="el" w:eastAsia="el"/>
        </w:rPr>
        <w:t>ΙΙ. ΔΙΕΥΘΥΝΣΗ ΕΦΑΡΜΟΓΗΣ ΑΜΕΣΗΣ</w:t>
      </w:r>
    </w:p>
    <w:p>
      <w:pPr>
        <w:pStyle w:val="PreambelText"/>
        <w:spacing w:before="240" w:after="240"/>
        <w:rPr>
          <w:lang w:val="el" w:eastAsia="el"/>
        </w:rPr>
      </w:pPr>
      <w:r>
        <w:rPr>
          <w:b/>
          <w:bCs/>
          <w:lang w:val="el" w:eastAsia="el"/>
        </w:rPr>
        <w:t>ΦΟΡΟΛΟΓΙΑΣ ΤΜΗΜΑ Α΄ Ταχ. Δ/νση Ταχ. Κώδικας Τηλέφωνο E-Mail</w:t>
      </w:r>
    </w:p>
    <w:p>
      <w:pPr>
        <w:pStyle w:val="PreambelText"/>
        <w:spacing w:before="240" w:after="240"/>
        <w:rPr>
          <w:lang w:val="el" w:eastAsia="el"/>
        </w:rPr>
      </w:pPr>
      <w:r>
        <w:rPr>
          <w:b/>
          <w:bCs/>
          <w:lang w:val="el" w:eastAsia="el"/>
        </w:rPr>
        <w:t>ΘΕΜΑ: Κοινοποίηση των διατάξεων των άρθρων 40 και 46 του ν. 5028/2023 (Α΄ 54/09-03-2023) «Αναδιάταξη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40 και 46 του ν. 5028/2023 (Α΄ 54) «Αναδιάταξη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5028/2023:</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«Ρύθμιση για τα έξοδα κηδείας των προσώπων που κηδεύονται δημοσία δαπάνη». Άρθρο 46: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άρθρο 40 αφορά στα έξοδα κηδείας των προσώπων που κηδεύονται δημοσία δαπάνη.</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40 και 46 του ν. 5028/2023 με τίτλο «Αναδιάταξη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 (Α΄ 54), ως ακολούθως: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«Ρύθμιση για τα έξοδα κηδείας των προσώπων που κηδεύονται δημοσία δαπάνη» Με το άρθρο 40 του κοινοποιούμενου νόμου ορίζεται ότι τα έξοδα κηδείας προσώπων που κηδεύονται δημοσία δαπάνη, σύμφωνα με τον ν. 409/1976 (Α΄ 209), ορίζονται ως ανεκχώρητα και ακατάσχετα στα χέρια του Δημοσίου ή τρίτων, κατά παρέκκλιση κάθε γενικής ή ειδικής διάταξης, δεν εμπίπτουν σε καμία κατηγορία εισοδήματος, δεν υπόκεινται σε οποιαδήποτε κράτηση ή εισφορά, δεν δεσμεύονται και δεν συμψηφίζονται με βεβαιωμένα χρέη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1 του άρθρου 46 του κοινοποιούμενου νόμου, η ισχύς του άρθρου 40 αυτού αρχίζει από τη δημοσίευση του νόμου στην Εφημερίδα της Κυβερνήσεως, ήτοι από 0903-2023.</w:t>
      </w:r>
    </w:p>
    <w:p>
      <w:pPr>
        <w:spacing w:before="240" w:after="240"/>
        <w:rPr>
          <w:lang w:val="el" w:eastAsia="el"/>
        </w:rPr>
      </w:pPr>
      <w:r>
        <w:rPr>
          <w:b/>
          <w:bCs/>
          <w:lang w:val="el" w:eastAsia="el"/>
        </w:rPr>
        <w:t>Συνημμένα: Απόσπασμα του ΦΕΚ Α΄54/09.03.2023: άρθρα 40 και 46 του ν. 5028/2023.</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Γενικού Γραμματέα Φορολογικής Πολιτικής και Δημόσιας Περιουσίας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Πίνακα Α΄ (εκτός των αριθμών 2 και 3 αυτού)</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Β΄</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