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ΨΝΩ246ΜΠ3Ζ-ΩΚΚ</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 – 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Τηλέφωνα : 210 3375312, 317</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2. </w:t>
      </w:r>
      <w:r>
        <w:rPr>
          <w:b/>
          <w:bCs/>
          <w:lang w:val="el" w:eastAsia="el"/>
        </w:rPr>
        <w:t>ΔΙΕΥΘΥΝΣΗ ΔΙΑΔΙΚΑΣΙΩΝ ΕΙΣΠΡΑΞΕΩΝ ΚΑΙ ΕΠΙΣΤΡΟΦΩΝ - ΤΜΗΜΑ Α΄</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2103605159</w:t>
      </w:r>
    </w:p>
    <w:p>
      <w:pPr>
        <w:pStyle w:val="PreambelText"/>
        <w:spacing w:before="240" w:after="240"/>
        <w:rPr>
          <w:lang w:val="el" w:eastAsia="el"/>
        </w:rPr>
      </w:pPr>
      <w:r>
        <w:rPr>
          <w:b/>
          <w:bCs/>
          <w:lang w:val="el" w:eastAsia="el"/>
        </w:rPr>
        <w:t>Email :</w:t>
      </w:r>
      <w:hyperlink r:id="rId6"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 xml:space="preserve">3. </w:t>
      </w: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 – ΤΜΗΜΑΤΑ Α΄, Β΄</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Κώδικας : 18346 Μοσχάτο</w:t>
      </w:r>
    </w:p>
    <w:p>
      <w:pPr>
        <w:pStyle w:val="PreambelText"/>
        <w:spacing w:before="240" w:after="240"/>
        <w:rPr>
          <w:lang w:val="el" w:eastAsia="el"/>
        </w:rPr>
      </w:pPr>
      <w:r>
        <w:rPr>
          <w:b/>
          <w:bCs/>
          <w:lang w:val="el" w:eastAsia="el"/>
        </w:rPr>
        <w:t>Τηλέφωνα : 2104802703</w:t>
      </w:r>
    </w:p>
    <w:p>
      <w:pPr>
        <w:pStyle w:val="PreambelText"/>
        <w:spacing w:before="240" w:after="240"/>
        <w:rPr>
          <w:lang w:val="el" w:eastAsia="el"/>
        </w:rPr>
      </w:pPr>
      <w:r>
        <w:rPr>
          <w:b/>
          <w:bCs/>
          <w:lang w:val="el" w:eastAsia="el"/>
        </w:rPr>
        <w:t>Email :</w:t>
      </w:r>
      <w:hyperlink r:id="rId7"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Url :</w:t>
      </w:r>
      <w:hyperlink r:id="rId8"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4.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 – ΤΜΗΜΑΤΑ Α΄, Β΄</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Ταχ. Κώδικας : 10672, Αθήνα</w:t>
      </w:r>
    </w:p>
    <w:p>
      <w:pPr>
        <w:pStyle w:val="PreambelText"/>
        <w:spacing w:before="240" w:after="240"/>
        <w:rPr>
          <w:lang w:val="el" w:eastAsia="el"/>
        </w:rPr>
      </w:pPr>
      <w:r>
        <w:rPr>
          <w:b/>
          <w:bCs/>
          <w:lang w:val="el" w:eastAsia="el"/>
        </w:rPr>
        <w:t>Τηλέφωνο : 2132122400</w:t>
      </w:r>
    </w:p>
    <w:p>
      <w:pPr>
        <w:pStyle w:val="PreambelText"/>
        <w:spacing w:before="240" w:after="240"/>
        <w:rPr>
          <w:lang w:val="el" w:eastAsia="el"/>
        </w:rPr>
      </w:pPr>
      <w:r>
        <w:rPr>
          <w:b/>
          <w:bCs/>
          <w:lang w:val="el" w:eastAsia="el"/>
        </w:rPr>
        <w:t>Email :</w:t>
      </w:r>
      <w:hyperlink r:id="rId9"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Url :</w:t>
      </w:r>
      <w:hyperlink r:id="rId10"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της παρ. 3 του άρθρου 30 και των άρθρων</w:t>
      </w:r>
    </w:p>
    <w:p>
      <w:pPr>
        <w:pStyle w:val="PreambelText"/>
        <w:spacing w:before="240" w:after="240"/>
        <w:rPr>
          <w:lang w:val="el" w:eastAsia="el"/>
        </w:rPr>
      </w:pPr>
      <w:r>
        <w:rPr>
          <w:b/>
          <w:bCs/>
          <w:lang w:val="el" w:eastAsia="el"/>
        </w:rPr>
        <w:t>37 και 54 του ν. 5029/2023 («Ζούμε Αρμονικά Μαζί - Σπάμε τη Σιωπή»: Ρυθμίσεις για την πρόληψη και αντιμετώπιση της βίας και του εκφοβισμού στα σχολεία και άλλες διατάξεις», Α΄55/10.3.2023).</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της παρ. 3 του άρθρου 30 και των άρθρων 37 και 54 του ν. 5029/2023.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5029/2023:</w:t>
      </w:r>
    </w:p>
    <w:p>
      <w:pPr>
        <w:pStyle w:val="StructureList1"/>
        <w:spacing w:before="120" w:after="0"/>
        <w:rPr>
          <w:lang w:val="el" w:eastAsia="el"/>
        </w:rPr>
      </w:pPr>
      <w:r>
        <w:rPr>
          <w:b/>
          <w:bCs/>
          <w:lang w:val="el" w:eastAsia="el"/>
        </w:rPr>
        <w:t>α)</w:t>
      </w:r>
      <w:r>
        <w:rPr>
          <w:b/>
          <w:bCs/>
          <w:lang w:val="en" w:eastAsia="en"/>
        </w:rPr>
        <w:tab/>
      </w:r>
      <w:r>
        <w:rPr>
          <w:b/>
          <w:bCs/>
          <w:lang w:val="el" w:eastAsia="el"/>
        </w:rPr>
        <w:t>παρ. 3 του άρθρου 30 «Ρυθμίσεις για τους Ειδικούς Λογαριασμούς Κονδυλίων Έρευνας των Ανώτατων Εκπαιδευτικών Ιδρυμάτων – Τροποποίηση παρ. 4 άρθρου 51, άρθρων 232 και 237, παρ. 1 άρθρου 241, παρ. 1 άρθρου 242, άρθρου 243, παρ. 3 άρθρου 246 και άρθρων 252, 255 και 473 ν. 4957/2022».</w:t>
      </w:r>
    </w:p>
    <w:p>
      <w:pPr>
        <w:pStyle w:val="StructureList1"/>
        <w:spacing w:before="120" w:after="0"/>
        <w:rPr>
          <w:lang w:val="el" w:eastAsia="el"/>
        </w:rPr>
      </w:pPr>
      <w:r>
        <w:rPr>
          <w:b/>
          <w:bCs/>
          <w:lang w:val="el" w:eastAsia="el"/>
        </w:rPr>
        <w:t>β)</w:t>
      </w:r>
      <w:r>
        <w:rPr>
          <w:b/>
          <w:bCs/>
          <w:lang w:val="en" w:eastAsia="en"/>
        </w:rPr>
        <w:tab/>
      </w:r>
      <w:r>
        <w:rPr>
          <w:b/>
          <w:bCs/>
          <w:lang w:val="el" w:eastAsia="el"/>
        </w:rPr>
        <w:t>άρθρου 37 «Μεταβατικές διατάξεις για τις Ανώτατες Εκκλησιαστικές Ακαδημίες - Συγχώνευση των Ανώτατων Εκκλησιαστικών Ακαδημιών - Τροποποίηση περ. α) παρ. 1 άρθρου 241 ν. 4823/2021».</w:t>
      </w:r>
    </w:p>
    <w:p>
      <w:pPr>
        <w:pStyle w:val="StructureList1"/>
        <w:spacing w:before="120" w:after="0"/>
        <w:rPr>
          <w:lang w:val="el" w:eastAsia="el"/>
        </w:rPr>
      </w:pPr>
      <w:r>
        <w:rPr>
          <w:b/>
          <w:bCs/>
          <w:lang w:val="el" w:eastAsia="el"/>
        </w:rPr>
        <w:t>γ)</w:t>
      </w:r>
      <w:r>
        <w:rPr>
          <w:b/>
          <w:bCs/>
          <w:lang w:val="en" w:eastAsia="en"/>
        </w:rPr>
        <w:tab/>
      </w:r>
      <w:r>
        <w:rPr>
          <w:b/>
          <w:bCs/>
          <w:lang w:val="el" w:eastAsia="el"/>
        </w:rPr>
        <w:t>άρθρου 54 «Έναρξη ισχύος».</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30 αφορά στους δικαιούχους των υποτροφιών αριστείας και των ανταποδοτικών υποτροφιών που χορηγούνται από τους Ε.Λ.Κ.Ε. των Α.Ε.Ι.</w:t>
      </w:r>
    </w:p>
    <w:p>
      <w:pPr>
        <w:pStyle w:val="StructureList1"/>
        <w:spacing w:before="120" w:after="0"/>
        <w:rPr>
          <w:lang w:val="el" w:eastAsia="el"/>
        </w:rPr>
      </w:pPr>
      <w:r>
        <w:rPr>
          <w:b/>
          <w:bCs/>
          <w:lang w:val="el" w:eastAsia="el"/>
        </w:rPr>
        <w:t>β)</w:t>
      </w:r>
      <w:r>
        <w:rPr>
          <w:b/>
          <w:bCs/>
          <w:lang w:val="en" w:eastAsia="en"/>
        </w:rPr>
        <w:tab/>
      </w:r>
      <w:r>
        <w:rPr>
          <w:b/>
          <w:bCs/>
          <w:lang w:val="el" w:eastAsia="el"/>
        </w:rPr>
        <w:t>To άρθρο 37 αφορά σε μεταβατικές διατάξεις για τις Ανώτατες Εκκλησιαστικές Ακαδημίες.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54 αφορά στην έναρξη ισχύος του ν. 5029/2023.</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της παρ. 3 του άρθρου 30 και των άρθρων 37 και 54 του ν. 5029/2023 (Α΄55), ως εξής: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«Ρυθμίσεις για τους Ειδικούς Λογαριασμούς Κονδυλίων Έρευνας των Ανώτατων Εκπαιδευτικών Ιδρυμάτων – Τροποποίηση παρ. 4 άρθρου 51, άρθρων 232 και 237, παρ. 1 άρθρου 241, παρ. 1 άρθρου 242, άρθρου 243, παρ. 3 άρθρου 246 και άρθρων 252, 255 και 473 ν. 4957/2022»</w:t>
      </w:r>
    </w:p>
    <w:p>
      <w:pPr>
        <w:spacing w:before="240" w:after="240"/>
        <w:rPr>
          <w:lang w:val="el" w:eastAsia="el"/>
        </w:rPr>
      </w:pPr>
      <w:r>
        <w:rPr>
          <w:b/>
          <w:bCs/>
          <w:lang w:val="el" w:eastAsia="el"/>
        </w:rPr>
        <w:t>Με την παρ. 3 του άρθρου 30 ορίζεται ότι στο άρθρο 237 του ν. 4957/2022 (Α’ 141), περί θεμάτων οικονομικής διαχείρισης των Ειδικών Λογαριασμών Κονδυλίων Έρευνας, προστίθεται, μεταξύ άλλων, παρ. 11 ως εξής:</w:t>
      </w:r>
    </w:p>
    <w:p>
      <w:pPr>
        <w:spacing w:before="240" w:after="240"/>
        <w:rPr>
          <w:lang w:val="el" w:eastAsia="el"/>
        </w:rPr>
      </w:pPr>
      <w:r>
        <w:rPr>
          <w:b/>
          <w:bCs/>
          <w:lang w:val="el" w:eastAsia="el"/>
        </w:rPr>
        <w:t>«11. Οι υποτροφίες αριστείας και οι ανταποδοτικές υποτροφίες που χορηγούνται από τους Ε.Λ.Κ.Ε. των Α.Ε.Ι. δεν υπόκεινται σε οποιονδήποτε φόρο, κράτηση ή ασφαλιστική εισφορά. Οι υποτροφίες και οι κάθε είδους αποζημιώσεις που δίνονται σε δικαιούχους, όπως φοιτητές και νέους ερευνητές, στο πλαίσιο ευρωπαϊκών και συγχρηματοδοτούμενων έργων κινητικότητας, όπως το Erasmus+, ελέγχονται, εκκαθαρίζονται και καταβάλλονται, σύμφωνα με τους όρους του προγράμματος, με την έκδοση τακτικών χρηματικών ενταλμάτων. Για την έκδοση και εξόφληση των ως άνω ενταλμάτων δεν απαιτείται η προσκόμιση φορολογικής και ασφαλιστικής ενημερότητας από τους δικαιούχους.»</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«Μεταβατικές διατάξεις για τις Ανώτατες Εκκλησιαστικές Ακαδημίες – Συγχώνευση των Ανώτατων Εκκλησιαστικών Ακαδημιών – Τροποποίηση περ. α) παρ. 1 άρθρου 241 ν. 4823/2021»</w:t>
      </w:r>
    </w:p>
    <w:p>
      <w:pPr>
        <w:spacing w:before="240" w:after="240"/>
        <w:rPr>
          <w:lang w:val="el" w:eastAsia="el"/>
        </w:rPr>
      </w:pPr>
      <w:r>
        <w:rPr>
          <w:b/>
          <w:bCs/>
          <w:lang w:val="el" w:eastAsia="el"/>
        </w:rPr>
        <w:t>Με το άρθρο 37 ορίζεται ότι στην περ. α’ της παρ. 1 του άρθρου 241 του ν. 4823/2021 (Α΄ 136), περί των μεταβατικών διατάξεων για τις Ανώτατες Εκκλησιαστικές Ακαδημίες (Α.Ε.Α.), προστίθενται εδάφια, τρίτο, τέταρτο, πέμπτο, έκτο, έβδομο και όγδοο, και η περ. α) διαμορφώνεται ως εξής:</w:t>
      </w:r>
    </w:p>
    <w:p>
      <w:pPr>
        <w:spacing w:before="240" w:after="240"/>
        <w:rPr>
          <w:lang w:val="el" w:eastAsia="el"/>
        </w:rPr>
      </w:pPr>
      <w:r>
        <w:rPr>
          <w:b/>
          <w:bCs/>
          <w:lang w:val="el" w:eastAsia="el"/>
        </w:rPr>
        <w:t>«α) Από το ακαδημαϊκό έτος 2022-2023 λειτουργούν οι Ανώτατες Εκκλησιαστικές Ακαδημίες (Α.Ε.Α.) Αθηνών και η Πατριαρχική Ανώτατη Εκκλησιαστική Ακαδημία (Π.Α.Ε.Α.) Κρήτης. Από το ίδιο ακαδημαϊκό έτος παύει η λειτουργία των Α.Ε.Α. Θεσσαλονίκης και Βελλάς Ιωαννίνων και λήγει η θητεία των μελών των Ακαδημαϊκών Συμβουλίων, των Προέδρων και των Διευθυντών Σπουδών των Προγραμμάτων τους. Ομοίως, από το ίδιο ακαδημαϊκό έτος, η Α.Ε.Α. Αθηνών υπεισέρχεται αυτοδικαίως και χωρίς άλλη διατύπωση σε όλα τα ενοχικά και εμπράγματα δικαιώματα επί του συνόλου της κινητής και ακίνητης περιουσίας και σε όλες τις απαιτήσεις και υποχρεώσεις των Α.Ε.Α. Θεσσαλονίκης και Βελλάς Ιωαννίνων, αντίστοιχα, ως οιονεί καθολικός διάδοχός τους, χωρίς την καταβολή φόρου, τέλους ή άλλου δικαιώματος υπέρ του Δημοσίου ή των Οργανισμών Τοπικής Αυτοδιοίκησης (Ο.Τ.Α.) ή άλλων νομικών προσώπων, τηρουμένων των διατυπώσεων δημοσιότητας για τα ακίνητα. Η Α.Ε.Α. Αθηνών έχει στο εξής την αποκλειστική χρήση και διαχείριση των περιουσιακών στοιχείων των Α.Ε.Α. Θεσσαλονίκης και Βελλάς Ιωαννίνων. Το ταμειακό υπόλοιπο των προηγουμένων ετών (αποθεματικό) των Α.Ε.Α. Θεσσαλονίκης και Βελλάς Ιωαννίνων περιέρχεται στην Α.Ε.Α. Αθηνών, ως αποθεματικό. Τα ταμειακά διαθέσιμα του έτους 2022 περιέρχονται στην Α.Ε.Α. Αθηνών ως ταμειακά διαθέσιμα.</w:t>
      </w:r>
    </w:p>
    <w:p>
      <w:pPr>
        <w:spacing w:before="240" w:after="240"/>
        <w:rPr>
          <w:lang w:val="el" w:eastAsia="el"/>
        </w:rPr>
      </w:pPr>
      <w:r>
        <w:rPr>
          <w:b/>
          <w:bCs/>
          <w:lang w:val="el" w:eastAsia="el"/>
        </w:rPr>
        <w:t>Οι εκκρεμείς δίκες, στις οποίες διάδικα μέρη είναι οι Α.Ε.Α. Θεσσαλονίκης και Βελλάς Ιωαννίνων, συνεχίζονται αυτοδικαίως από την Α.Ε.Α. Αθηνών, χωρίς να επέρχεται βίαιη διακοπή και χωρίς να απαιτείται ειδική διαδικαστική πράξη για τη συνέχισή τους. Δικαστικές αποφάσεις που εκδίδονται για τις Α.Ε.Α. Θεσσαλονίκης και Βελλάς Ιωαννίνων ισχύουν έναντι της Α.Ε.Α. Αθηνών.».</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54 του κοινοποιούμενου νόμου, η ισχύς αυτού αρχίζει από τη δημοσίευσή του στην Εφημερίδα της Κυβερνήσεως, ήτοι στις 10.03.2023.</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ΦΕΚ Α’ 55/10.3.2023:άρθρα 30,37 και 54 του ν.5029/2023.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Οικονομικών κ. Σταϊκούρα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Οικονομικών κ. Βεσυρόπουλου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κ.κ. Γενικών Δ/ντών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eispraxeon@aade.gr" TargetMode="External" /><Relationship Id="rId7" Type="http://schemas.openxmlformats.org/officeDocument/2006/relationships/hyperlink" Target="mailto:defk@aade.gr" TargetMode="External" /><Relationship Id="rId8" Type="http://schemas.openxmlformats.org/officeDocument/2006/relationships/hyperlink" Target="http://www.aade.gr/" TargetMode="External" /><Relationship Id="rId9" Type="http://schemas.openxmlformats.org/officeDocument/2006/relationships/hyperlink" Target="mailto:deef@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