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ΦΟΡΟΛΟΓΙΑΣ ΚΕΦΑΛΑΙΟΥ ΚΑΙ ΠΕΡΙΟΥΣΙΟΛΟΓΙΟΥ ΤΜΗΜΑΤΑ Α’, Β’</w:t>
      </w:r>
    </w:p>
    <w:p>
      <w:pPr>
        <w:pStyle w:val="PreambelText"/>
        <w:spacing w:before="240" w:after="240"/>
        <w:rPr>
          <w:lang w:val="el" w:eastAsia="el"/>
        </w:rPr>
      </w:pPr>
      <w:r>
        <w:rPr>
          <w:b/>
          <w:bCs/>
          <w:lang w:val="el" w:eastAsia="el"/>
        </w:rPr>
        <w:t>Ταχ. Δ/νση : Χανδρή 1 &amp; Θεσσαλονίκης</w:t>
      </w:r>
    </w:p>
    <w:p>
      <w:pPr>
        <w:pStyle w:val="PreambelText"/>
        <w:spacing w:before="240" w:after="240"/>
        <w:rPr>
          <w:lang w:val="el" w:eastAsia="el"/>
        </w:rPr>
      </w:pPr>
      <w:r>
        <w:rPr>
          <w:b/>
          <w:bCs/>
          <w:lang w:val="el" w:eastAsia="el"/>
        </w:rPr>
        <w:t>Ταχ. Κώδικας : 18346, Μοσχάτο</w:t>
      </w:r>
    </w:p>
    <w:p>
      <w:pPr>
        <w:pStyle w:val="PreambelText"/>
        <w:spacing w:before="240" w:after="240"/>
        <w:rPr>
          <w:lang w:val="el" w:eastAsia="el"/>
        </w:rPr>
      </w:pPr>
      <w:r>
        <w:rPr>
          <w:b/>
          <w:bCs/>
          <w:lang w:val="el" w:eastAsia="el"/>
        </w:rPr>
        <w:t>Τηλέφωνο : 2104802283</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defk@aade.gr</w:t>
        </w:r>
      </w:hyperlink>
    </w:p>
    <w:p>
      <w:pPr>
        <w:pStyle w:val="PreambelText"/>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 xml:space="preserve">2. </w:t>
      </w:r>
      <w:r>
        <w:rPr>
          <w:b/>
          <w:bCs/>
          <w:lang w:val="el" w:eastAsia="el"/>
        </w:rPr>
        <w:t>ΔΙΕΥΘΥΝΣΗ ΕΦΑΡΜΟΓΗΣ ΑΜΕΣΗΣ ΦΟΡΟΛΟΓΙΑΣ</w:t>
      </w:r>
    </w:p>
    <w:p>
      <w:pPr>
        <w:pStyle w:val="Heading1"/>
        <w:spacing w:before="240" w:after="240"/>
        <w:rPr>
          <w:lang w:val="el" w:eastAsia="el"/>
        </w:rPr>
      </w:pPr>
      <w:r>
        <w:rPr>
          <w:b/>
          <w:bCs/>
          <w:lang w:val="el" w:eastAsia="el"/>
        </w:rPr>
        <w:t>ΤΜΗΜΑ Β’</w:t>
      </w:r>
      <w:r>
        <w:rPr>
          <w:b/>
          <w:bCs/>
          <w:lang w:val="el" w:eastAsia="el"/>
        </w:rPr>
        <w:t xml:space="preserve"> </w:t>
      </w:r>
    </w:p>
    <w:p>
      <w:pPr>
        <w:pStyle w:val="Heading1"/>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Τηλέφωνα : 210 3375312</w:t>
      </w:r>
    </w:p>
    <w:p>
      <w:pPr>
        <w:spacing w:before="240" w:after="240"/>
        <w:rPr>
          <w:lang w:val="el" w:eastAsia="el"/>
        </w:rPr>
      </w:pPr>
      <w:r>
        <w:rPr>
          <w:b/>
          <w:bCs/>
          <w:lang w:val="el" w:eastAsia="el"/>
        </w:rPr>
        <w:t>Email :</w:t>
      </w:r>
      <w:hyperlink r:id="rId6" w:history="1">
        <w:r>
          <w:rPr>
            <w:rStyle w:val="Hyperlink"/>
            <w:b/>
            <w:bCs/>
            <w:color w:val="0000EE"/>
            <w:u w:color="0000EE"/>
            <w:lang w:val="el" w:eastAsia="el"/>
          </w:rPr>
          <w:t>deaf@aade.gr</w:t>
        </w:r>
      </w:hyperlink>
    </w:p>
    <w:p>
      <w:pPr>
        <w:spacing w:before="240" w:after="240"/>
        <w:rPr>
          <w:lang w:val="el" w:eastAsia="el"/>
        </w:rPr>
      </w:pPr>
      <w:r>
        <w:rPr>
          <w:b/>
          <w:bCs/>
          <w:lang w:val="el" w:eastAsia="el"/>
        </w:rPr>
        <w:t xml:space="preserve">Url : </w:t>
      </w:r>
      <w:hyperlink r:id="rId7" w:history="1">
        <w:r>
          <w:rPr>
            <w:rStyle w:val="Hyperlink"/>
            <w:b/>
            <w:bCs/>
            <w:color w:val="0000EE"/>
            <w:u w:color="0000EE"/>
            <w:lang w:val="el" w:eastAsia="el"/>
          </w:rPr>
          <w:t>www.aade.gr</w:t>
        </w:r>
      </w:hyperlink>
    </w:p>
    <w:p>
      <w:pPr>
        <w:spacing w:before="240" w:after="240"/>
        <w:rPr>
          <w:lang w:val="el" w:eastAsia="el"/>
        </w:rPr>
      </w:pPr>
      <w:r>
        <w:rPr>
          <w:b/>
          <w:bCs/>
          <w:lang w:val="el" w:eastAsia="el"/>
        </w:rPr>
        <w:t xml:space="preserve">3. </w:t>
      </w:r>
      <w:r>
        <w:rPr>
          <w:b/>
          <w:bCs/>
          <w:lang w:val="el" w:eastAsia="el"/>
        </w:rPr>
        <w:t>ΔΙΕΥΘΥΝΣΗ ΕΦΑΡΜΟΓΗΣ ΕΜΜΕΣΗΣ ΦΟΡΟΛΟΓΙΑΣ</w:t>
      </w:r>
    </w:p>
    <w:p>
      <w:pPr>
        <w:spacing w:before="240" w:after="240"/>
        <w:rPr>
          <w:lang w:val="el" w:eastAsia="el"/>
        </w:rPr>
      </w:pPr>
      <w:r>
        <w:rPr>
          <w:b/>
          <w:bCs/>
          <w:lang w:val="el" w:eastAsia="el"/>
        </w:rPr>
        <w:t>ΤΜΗΜΑΤΑ Α’, Β’</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 10672, Αθήνα</w:t>
      </w:r>
    </w:p>
    <w:p>
      <w:pPr>
        <w:spacing w:before="240" w:after="240"/>
        <w:rPr>
          <w:lang w:val="el" w:eastAsia="el"/>
        </w:rPr>
      </w:pPr>
      <w:r>
        <w:rPr>
          <w:b/>
          <w:bCs/>
          <w:lang w:val="el" w:eastAsia="el"/>
        </w:rPr>
        <w:t>Τηλέφωνο : 2132122400</w:t>
      </w:r>
    </w:p>
    <w:p>
      <w:pPr>
        <w:spacing w:before="240" w:after="240"/>
        <w:rPr>
          <w:lang w:val="el" w:eastAsia="el"/>
        </w:rPr>
      </w:pPr>
      <w:r>
        <w:rPr>
          <w:b/>
          <w:bCs/>
          <w:lang w:val="el" w:eastAsia="el"/>
        </w:rPr>
        <w:t>Email :</w:t>
      </w:r>
      <w:hyperlink r:id="rId8" w:history="1">
        <w:r>
          <w:rPr>
            <w:rStyle w:val="Hyperlink"/>
            <w:b/>
            <w:bCs/>
            <w:color w:val="0000EE"/>
            <w:u w:color="0000EE"/>
            <w:lang w:val="el" w:eastAsia="el"/>
          </w:rPr>
          <w:t>deef@aade.gr</w:t>
        </w:r>
      </w:hyperlink>
    </w:p>
    <w:p>
      <w:pPr>
        <w:spacing w:before="240" w:after="240"/>
        <w:rPr>
          <w:lang w:val="el" w:eastAsia="el"/>
        </w:rPr>
      </w:pPr>
      <w:r>
        <w:rPr>
          <w:b/>
          <w:bCs/>
          <w:lang w:val="el" w:eastAsia="el"/>
        </w:rPr>
        <w:t xml:space="preserve">Url : </w:t>
      </w:r>
      <w:hyperlink r:id="rId9"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«Κοινοποίηση των διατάξεων των άρθρων 14, 82, 124 και 134, του ν. 5034/2023 (Α’ 69) «Σύσταση νομικού προσώπου ιδιωτικού δικαίου με την επωνυμία «Ογκολογικό Κέντρο Παίδων “Μαριάννα Β. Βαρδινογιάννη - ΕΛΠΙΔΑ”», εκσυγχρονισμός του δικαίου για τη δωρεά και μεταμόσχευση οργάνων, ρυθμίσεις για την αντιμετώπιση της πανδημίας του κορωνοϊού COVID-19 και την προστασία της δημοσίας υγείας και άλλες επείγουσες ρυθμίσεις».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των άρθρων 14, 82, 124 και 134 του ν.5034/2023.</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5034/2023:</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«Απαλλαγές»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«Παράταση αποζημίωσης ιδιωτικών κλινικών και θεραπευτηρίων που δεσμεύθηκαν αναγκαστικά για την κάλυψη εκτάκτων αναγκών δημόσιας υγείας από την έξαρση του κορωνοϊού covid-19»</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«Εφαρμογή μηδενικού συντελεστή Φόρου Προστιθέμενης Αξίας στα εμβόλια κατά του κορωνοϊού COVID-19 – Αντικατάσταση παρ. 1Α άρθρου 21 Κώδικα Φόρου Προστιθέμενης Αξίας»</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Οι διατάξεις του άρθρου 14 αφορούν τις απαλλαγές του νομικού προσώπου Ογκολογικό Κέντρο Παίδων “Μαριάννα Β. Βαρδινογιάννη - ΕΛΠΙΔΑ”» από εισφορές, φόρους και τέλη.</w:t>
      </w:r>
    </w:p>
    <w:p>
      <w:pPr>
        <w:spacing w:before="240" w:after="240"/>
        <w:rPr>
          <w:lang w:val="el" w:eastAsia="el"/>
        </w:rPr>
      </w:pPr>
      <w:r>
        <w:rPr>
          <w:b/>
          <w:bCs/>
          <w:lang w:val="el" w:eastAsia="el"/>
        </w:rPr>
        <w:t>Οι διατάξεις του άρθρου 82 αφορούν σε παράταση αποζημίωσης ιδιωτικών κλινικών και θεραπευτηρίων που δεσμεύθηκαν αναγκαστικά για την κάλυψη εκτάκτων αναγκών δημόσιας υγείας από την έξαρση του κορωνοϊού covid-19.</w:t>
      </w:r>
    </w:p>
    <w:p>
      <w:pPr>
        <w:spacing w:before="240" w:after="240"/>
        <w:rPr>
          <w:lang w:val="el" w:eastAsia="el"/>
        </w:rPr>
      </w:pPr>
      <w:r>
        <w:rPr>
          <w:b/>
          <w:bCs/>
          <w:lang w:val="el" w:eastAsia="el"/>
        </w:rPr>
        <w:t>Οι διατάξεις του άρθρου 124, οι οποίες αναφέρονται στην εφαρμογή μηδενικού συντελεστή φόρου προστιθέμενης αξίας στα εμβόλια κατά του κορωνοϊού COVID- 19 έως και τις 31.12.2023, αφορούν στους υποκείμενους στον φόρο που προβαίνουν στην αγορά των εν λόγω εμβολίων.</w:t>
      </w:r>
    </w:p>
    <w:p>
      <w:pPr>
        <w:spacing w:before="240" w:after="240"/>
        <w:rPr>
          <w:lang w:val="el" w:eastAsia="el"/>
        </w:rPr>
      </w:pPr>
      <w:r>
        <w:rPr>
          <w:b/>
          <w:bCs/>
          <w:lang w:val="el" w:eastAsia="el"/>
        </w:rPr>
        <w:t>Οι διατάξεις του άρθρου 134 αφορούν στην έναρξη ισχύος του κοινοποιούμενου νόμου.</w:t>
      </w:r>
    </w:p>
    <w:p>
      <w:pPr>
        <w:spacing w:before="240" w:after="240"/>
        <w:rPr>
          <w:lang w:val="el" w:eastAsia="el"/>
        </w:rPr>
      </w:pPr>
      <w:r>
        <w:rPr>
          <w:b/>
          <w:bCs/>
          <w:lang w:val="el" w:eastAsia="el"/>
        </w:rPr>
        <w:t>Με την παρούσα κοινοποιούνται οι διατάξεις των άρθρων 14, 82, 124 και 134 του ν. 5034/2023 (Α’ 69) για ενημέρωση και εφαρμογή, ως ακολούθως :</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Απαλλαγές</w:t>
      </w:r>
    </w:p>
    <w:p>
      <w:pPr>
        <w:spacing w:before="240" w:after="240"/>
        <w:rPr>
          <w:lang w:val="el" w:eastAsia="el"/>
        </w:rPr>
      </w:pPr>
      <w:r>
        <w:rPr>
          <w:b/>
          <w:bCs/>
          <w:lang w:val="el" w:eastAsia="el"/>
        </w:rPr>
        <w:t>Το νομικό πρόσωπο ιδιωτικού δικαίου με την επωνυμία «Ογκολογικό Κέντρο Παίδων “Μαριάννα Β. Βαρδινογιάννη - ΕΛΠΙΔΑ”» (Κέντρο) απαλλάσσεται από κάθε δημόσιο, δημοτικό και δικαστικό τέλος ή άλλο άμεσο ή έμμεσο φόρο, πλην του φόρου προστιθέμενης αξίας (Φ.Π.Α.), του φόρου εισοδήματος, του φόρου δωρεών και κληρονομιών και του φόρου μεταβίβασης ακινήτου, καθώς και από κάθε εισφορά υπέρ τρίτων, δικαίωμα ή κράτηση και απολαύει όλων των δασμολογικών ατελειών και φορολογικών απαλλαγών και ευεργετημάτων που ισχύουν για τα δημόσια νοσηλευτικά ιδρύματα. Στις απαλλαγές αυτές δεν συμπεριλαμβάνονται οι εισφορές υπέρ ασφαλιστικών ταμείων κύριας και επικουρικής ασφάλισης. Ως προς την απαλλαγή από τον Ενιαίο Φόρο Ιδιοκτησίας Ακινήτων (ΕΝ.Φ.Ι.Α.) εφαρμόζεται η περ. β) της παρ. 1 του άρθρου 3 του ν. 4223/2013 (Α’ 287).</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Παράταση αποζημίωσης ιδιωτικών κλινικών και θεραπευτηρίων που δεσμεύθηκαν αναγκαστικά για την κάλυψη εκτάκτων αναγκών δημόσιας υγείας από την έξαρση του κορωνοϊού covid-19</w:t>
      </w:r>
    </w:p>
    <w:p>
      <w:pPr>
        <w:spacing w:before="240" w:after="240"/>
        <w:rPr>
          <w:lang w:val="el" w:eastAsia="el"/>
        </w:rPr>
      </w:pPr>
      <w:r>
        <w:rPr>
          <w:b/>
          <w:bCs/>
          <w:lang w:val="el" w:eastAsia="el"/>
        </w:rPr>
        <w:t>Παρατείνεται έως την 30ή.6.2023 η ισχύς του άρθρου πεντηκοστού τρίτου του ν. 4812/2021 (Α΄ 110), περί της αποζημίωσης ιδιωτικών κλινικών και θεραπευτηρίων που δεσμεύθηκαν αναγκαστικά για την κάλυψη εκτάκτων αναγκών δημόσιας υγείας από την έξαρση του κορωνοϊού COVID-19.</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Εφαρμογή μηδενικού συντελεστή Φόρου Προστιθέμενης Αξίας στα εμβόλια κατά του κορωνοϊού COVID-19 – Αντικατάσταση παρ. 1Α άρθρου 21 Κώδικα Φόρου Προστιθέμενης Αξίας</w:t>
      </w:r>
    </w:p>
    <w:p>
      <w:pPr>
        <w:spacing w:before="240" w:after="240"/>
        <w:rPr>
          <w:lang w:val="el" w:eastAsia="el"/>
        </w:rPr>
      </w:pPr>
      <w:r>
        <w:rPr>
          <w:b/>
          <w:bCs/>
          <w:lang w:val="el" w:eastAsia="el"/>
        </w:rPr>
        <w:t>Με την παρ. 1 του εν λόγω άρθρου, αντικαθίσταται η παρ. 1Α του άρθρου 21 του Κώδικα Φόρου Προστιθέμενης Αξίας (ν. 2859/2000, Α΄248) και κατ’ εξαίρεση, για τα εμβόλια της ΔΚ ΕΧ 3002 κατά του κορωνοϊού COVID–19, που έχουν εγκριθεί από την Ευρωπαϊκή Επιτροπή ή από τα κράτη μέλη της Ευρωπαϊκής Ένωσης, ο συντελεστής του φόρου ορίζεται σε μηδέν τοις εκατό (0%), έως και τις 31.12.2023.</w:t>
      </w:r>
    </w:p>
    <w:p>
      <w:pPr>
        <w:spacing w:before="240" w:after="240"/>
        <w:rPr>
          <w:lang w:val="el" w:eastAsia="el"/>
        </w:rPr>
      </w:pPr>
      <w:r>
        <w:rPr>
          <w:b/>
          <w:bCs/>
          <w:lang w:val="el" w:eastAsia="el"/>
        </w:rPr>
        <w:t>Με την παρ. 2 ορίζεται ότι η ισχύς της παρ. 1 αρχίζει από την 1η. 1. 2023.</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το άρθρο 134, η ισχύς των κοινοποιούμενων άρθρων αρχίζει από τη δημοσίευση του παρόντος νόμου στην Εφημερίδα της Κυβερνήσεως (ήτοι 18.3.2023), εκτός αν άλλως ορίζεται σε επιμέρους διατάξεις.</w:t>
      </w:r>
    </w:p>
    <w:p>
      <w:pPr>
        <w:spacing w:before="240" w:after="240"/>
        <w:rPr>
          <w:lang w:val="el" w:eastAsia="el"/>
        </w:rPr>
      </w:pPr>
      <w:r>
        <w:rPr>
          <w:b/>
          <w:bCs/>
          <w:lang w:val="el" w:eastAsia="el"/>
        </w:rPr>
        <w:t>Συνημμένα:</w:t>
      </w:r>
    </w:p>
    <w:p>
      <w:pPr>
        <w:spacing w:before="240" w:after="240"/>
        <w:rPr>
          <w:lang w:val="el" w:eastAsia="el"/>
        </w:rPr>
      </w:pPr>
      <w:r>
        <w:rPr>
          <w:b/>
          <w:bCs/>
          <w:lang w:val="el" w:eastAsia="el"/>
        </w:rPr>
        <w:t>Απόσπασμα του ΦΕΚ Α΄69/18.03.2023 (άρθρα 14, 82, 124 και 134 του ν. 5034/2023).</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Αποδέκτες Πίνακα Γ </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w:t>
      </w:r>
    </w:p>
    <w:p>
      <w:pPr>
        <w:spacing w:before="240" w:after="240"/>
        <w:rPr>
          <w:lang w:val="el" w:eastAsia="el"/>
        </w:rPr>
      </w:pPr>
      <w:r>
        <w:rPr>
          <w:b/>
          <w:bCs/>
          <w:lang w:val="el" w:eastAsia="el"/>
        </w:rPr>
        <w:t>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Α΄(περ. 1, 4)</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Β΄(περ. 3)</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 της ΑΑΔΕ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Εφαρμογής Φορολογίας Κεφαλαίου και Περιουσιολογίου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de.gr" TargetMode="External" /><Relationship Id="rId5" Type="http://schemas.openxmlformats.org/officeDocument/2006/relationships/hyperlink" Target="http://www.aade.gr" TargetMode="External" /><Relationship Id="rId6" Type="http://schemas.openxmlformats.org/officeDocument/2006/relationships/hyperlink" Target="mailto:deaf@aade.gr" TargetMode="External" /><Relationship Id="rId7" Type="http://schemas.openxmlformats.org/officeDocument/2006/relationships/hyperlink" Target="http://www.aade.gr" TargetMode="External" /><Relationship Id="rId8" Type="http://schemas.openxmlformats.org/officeDocument/2006/relationships/hyperlink" Target="mailto:deef@aade.gr" TargetMode="External" /><Relationship Id="rId9" Type="http://schemas.openxmlformats.org/officeDocument/2006/relationships/hyperlink" Target="http://www.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