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ΘΕΜΑ: Κοινοποίηση των διατάξεων της παρ. 2 του άρθρου 27 και του άρθρου 29 του ν. 5049/2023 «Επιτάχυνση διαδικασιών στελέχωσης και λειτουργίας Δικαστικής Αστυνομίας - Τροποποιήσεις ν. 4963/2022 - Άλλες ρυθμίσεις του Υπουργείου Δικαιοσύνης και λοιπές επείγουσες διατάξεις» (Α΄152).</w:t>
      </w:r>
    </w:p>
    <w:p>
      <w:pPr>
        <w:pStyle w:val="enacting"/>
        <w:spacing w:before="120" w:after="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της παρ. 2 του άρθρου 27 και του άρθρου 29 του ν. 5049/2023 (Α΄152).</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5049/2023 : i) της παρ. 2 του άρθρου 27 «Κάλυψη των εξόδων έκτακτου ελέγχου ηλεκτρικών εγκαταστάσεων και έκδοσης υπεύθυνης δήλωσης αδειούχου ηλεκτρολόγου εγκαταστάτη για τους πληγέντες από τις πλημμύρες - Προσθήκη παρ. 4A στο άρθρο 36 του ν. 4508/2017» ii) του άρθρου 29 «Έναρξη ισχύος»</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lang w:val="el" w:eastAsia="el"/>
        </w:rPr>
        <w:t>i)</w:t>
      </w:r>
      <w:r>
        <w:rPr>
          <w:lang w:val="en" w:eastAsia="en"/>
        </w:rPr>
        <w:tab/>
      </w:r>
      <w:r>
        <w:rPr>
          <w:b/>
          <w:bCs/>
          <w:lang w:val="el" w:eastAsia="el"/>
        </w:rPr>
        <w:t>Η παρ. 2 του άρθρου 27 αφορά στο αφορολόγητο, ανεκχώρητο και ακατάσχετο της οικονομικής ενίσχυσης για την κάλυψη των εξόδων έκτακτου ελέγχου ηλεκτρικών εγκαταστάσεων και έκδοσης υπεύθυνης δήλωσης αδειούχου ηλεκτρολόγου εγκαταστάτη για τους πληγέντες εξαιτίας της κακοκαιρίας «Daniel».</w:t>
      </w:r>
    </w:p>
    <w:p>
      <w:pPr>
        <w:pStyle w:val="StructureList1"/>
        <w:spacing w:before="120" w:after="0"/>
        <w:rPr>
          <w:lang w:val="el" w:eastAsia="el"/>
        </w:rPr>
      </w:pPr>
      <w:r>
        <w:rPr>
          <w:lang w:val="el" w:eastAsia="el"/>
        </w:rPr>
        <w:t>ii)</w:t>
      </w:r>
      <w:r>
        <w:rPr>
          <w:lang w:val="en" w:eastAsia="en"/>
        </w:rPr>
        <w:tab/>
      </w:r>
      <w:r>
        <w:rPr>
          <w:b/>
          <w:bCs/>
          <w:lang w:val="el" w:eastAsia="el"/>
        </w:rPr>
        <w:t>Το άρθρο 29 αφορά στην έναρξη ισχύος των ανωτέρω διατάξεων του ν. 5049/2023.</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της παρ. 2 του άρθρου 27 και του άρθρου 29 του ν. 5049/2023 (A΄152), ως εξής: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«Κάλυψη των εξόδων έκτακτου ελέγχου ηλεκτρικών εγκαταστάσεων και έκδοσης υπεύθυνης δήλωσης αδειούχου ηλεκτρολόγου εγκαταστάτη για τους πληγέντες από τις πλημμύρες – Προσθήκη παρ. 4Α στο άρθρο 36 του ν. 4508/2017»</w:t>
      </w:r>
    </w:p>
    <w:p>
      <w:pPr>
        <w:spacing w:before="240" w:after="240"/>
        <w:rPr>
          <w:lang w:val="el" w:eastAsia="el"/>
        </w:rPr>
      </w:pPr>
      <w:r>
        <w:rPr>
          <w:b/>
          <w:bCs/>
          <w:lang w:val="el" w:eastAsia="el"/>
        </w:rPr>
        <w:t>Με τη διάταξη της παρ. 2 του άρθρου 27 του κοινοποιούμενου νόμου ορίζεται ότι το ποσό της οικονομικής ενίσχυσης της παρ. 4Α του άρθρου 36 του ν. 4508/2017 για την κάλυψη των εξόδων έκτακτου ελέγχου ηλεκτρικών εγκαταστάσεων και έκδοσης υπεύθυνης δήλωσης αδειούχου ηλεκτρολόγου εγκαταστάτη για τους πληγέντες από τις πλημμύρες της κακοκαιρίας «Daniel» είναι αφορολόγητο, ανεκχώρητο και ακατάσχετο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Mε το άρθρο 29 του κοινοποιούμενου νόμου ορίζεται ότι η έναρξη ισχύος αυτού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ΦΕΚ Α΄152/14.9.2023: άρθρα 27 και 29 του ν. 5049/2023.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