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2. 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3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Σίνα 2-4</w:t>
            </w:r>
          </w:p>
          <w:p>
            <w:pPr>
              <w:spacing w:before="240" w:after="240"/>
              <w:rPr>
                <w:b w:val="0"/>
                <w:bCs w:val="0"/>
                <w:i w:val="0"/>
                <w:iCs w:val="0"/>
                <w:smallCaps w:val="0"/>
                <w:color w:val="000000"/>
                <w:lang w:val="el" w:eastAsia="el"/>
              </w:rPr>
            </w:pPr>
            <w:r>
              <w:rPr>
                <w:b/>
                <w:bCs/>
                <w:i w:val="0"/>
                <w:iCs w:val="0"/>
                <w:smallCaps w:val="0"/>
                <w:color w:val="000000"/>
                <w:lang w:val="el" w:eastAsia="el"/>
              </w:rPr>
              <w:t>: 106 72 Αθήνα</w:t>
            </w:r>
          </w:p>
          <w:p>
            <w:pPr>
              <w:spacing w:before="240" w:after="240"/>
              <w:rPr>
                <w:b w:val="0"/>
                <w:bCs w:val="0"/>
                <w:i w:val="0"/>
                <w:iCs w:val="0"/>
                <w:smallCaps w:val="0"/>
                <w:color w:val="000000"/>
                <w:lang w:val="el" w:eastAsia="el"/>
              </w:rPr>
            </w:pPr>
            <w:r>
              <w:rPr>
                <w:b/>
                <w:bCs/>
                <w:i w:val="0"/>
                <w:iCs w:val="0"/>
                <w:smallCaps w:val="0"/>
                <w:color w:val="000000"/>
                <w:lang w:val="el" w:eastAsia="el"/>
              </w:rPr>
              <w:t>: 2132122400</w:t>
            </w:r>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deef@aade.gr</w:t>
              </w:r>
            </w:hyperlink>
          </w:p>
        </w:tc>
      </w:tr>
    </w:tbl>
    <w:p>
      <w:pPr>
        <w:spacing w:before="240" w:after="240"/>
        <w:rPr>
          <w:lang w:val="el" w:eastAsia="el"/>
        </w:rPr>
      </w:pPr>
      <w:r>
        <w:rPr>
          <w:b/>
          <w:bCs/>
          <w:lang w:val="el" w:eastAsia="el"/>
        </w:rPr>
        <w:t>Θέμα: : Κοινοποίηση διατάξεων των άρθρων 48 και 54 του ν. 5056/2023 με τίτλο «Αναμόρφωση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 (Α΄163/06.10.2023).</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των άρθρων 48 και 54 του ν. 5056/2023</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5056/2023:</w:t>
      </w:r>
    </w:p>
    <w:p>
      <w:pPr>
        <w:pStyle w:val="StructureList1"/>
        <w:spacing w:before="120" w:after="0"/>
        <w:rPr>
          <w:lang w:val="el" w:eastAsia="el"/>
        </w:rPr>
      </w:pPr>
      <w:r>
        <w:rPr>
          <w:lang w:val="el" w:eastAsia="el"/>
        </w:rPr>
        <w:t>-</w:t>
      </w:r>
      <w:r>
        <w:rPr>
          <w:lang w:val="en" w:eastAsia="en"/>
        </w:rPr>
        <w:tab/>
      </w:r>
      <w:r>
        <w:rPr>
          <w:b/>
          <w:bCs/>
          <w:lang w:val="el" w:eastAsia="el"/>
        </w:rPr>
        <w:t>του άρθρου 48 αναφορικά με την ατέλεια μεταγραφής και την απαλλαγή από φόρους και τέλη κάθε σχετικής πράξης αναφορικά με την παραχώρηση κατά κυριότητα ή χρήση στο Υπουργείο Εσωτερικών για τη δημιουργία κτιριακών εγκαταστάσεων των συνοριακών σταθμών, των συνοδών χώρων αυτών ή λοιπών βοηθητικών χώρων</w:t>
      </w:r>
    </w:p>
    <w:p>
      <w:pPr>
        <w:pStyle w:val="StructureList1"/>
        <w:spacing w:before="120" w:after="0"/>
        <w:rPr>
          <w:lang w:val="el" w:eastAsia="el"/>
        </w:rPr>
      </w:pPr>
      <w:r>
        <w:rPr>
          <w:lang w:val="el" w:eastAsia="el"/>
        </w:rPr>
        <w:t>-</w:t>
      </w:r>
      <w:r>
        <w:rPr>
          <w:lang w:val="en" w:eastAsia="en"/>
        </w:rPr>
        <w:tab/>
      </w:r>
      <w:r>
        <w:rPr>
          <w:b/>
          <w:bCs/>
          <w:lang w:val="el" w:eastAsia="el"/>
        </w:rPr>
        <w:t>του άρθρου 54 αναφορικά με την έναρξη ισχύος</w:t>
      </w:r>
    </w:p>
    <w:p>
      <w:pPr>
        <w:spacing w:before="240" w:after="240"/>
        <w:rPr>
          <w:lang w:val="el" w:eastAsia="el"/>
        </w:rPr>
      </w:pPr>
      <w:r>
        <w:rPr>
          <w:b/>
          <w:bCs/>
          <w:lang w:val="el" w:eastAsia="el"/>
        </w:rPr>
        <w:t>Γ) ΠΕΔΙΟ ΕΦΑΡΜΟΓΗΣ</w:t>
      </w:r>
    </w:p>
    <w:p>
      <w:pPr>
        <w:pStyle w:val="StructureList1"/>
        <w:spacing w:before="120" w:after="0"/>
        <w:rPr>
          <w:lang w:val="el" w:eastAsia="el"/>
        </w:rPr>
      </w:pPr>
      <w:r>
        <w:rPr>
          <w:lang w:val="el" w:eastAsia="el"/>
        </w:rPr>
        <w:t>-</w:t>
      </w:r>
      <w:r>
        <w:rPr>
          <w:lang w:val="en" w:eastAsia="en"/>
        </w:rPr>
        <w:tab/>
      </w:r>
      <w:r>
        <w:rPr>
          <w:b/>
          <w:bCs/>
          <w:lang w:val="el" w:eastAsia="el"/>
        </w:rPr>
        <w:t>Αφορά στα Υποθηκοφυλακεία ή Κτηματολογικά γραφεία και τους αντισυμβαλλόμενους με το Υπουργείο Εσωτερικών για πράξεις αναφορικά με την παραχώρηση κατά κυριότητα ή χρήση για τη δημιουργία κτιριακών εγκαταστάσεων των συνοριακών σταθμών, των συνοδών χώρων αυτών ή λοιπών βοηθητικών χώρων</w:t>
      </w:r>
    </w:p>
    <w:p>
      <w:pPr>
        <w:pStyle w:val="StructureList1"/>
        <w:spacing w:before="120" w:after="0"/>
        <w:rPr>
          <w:lang w:val="el" w:eastAsia="el"/>
        </w:rPr>
      </w:pPr>
      <w:r>
        <w:rPr>
          <w:lang w:val="el" w:eastAsia="el"/>
        </w:rPr>
        <w:t>-</w:t>
      </w:r>
      <w:r>
        <w:rPr>
          <w:lang w:val="en" w:eastAsia="en"/>
        </w:rPr>
        <w:tab/>
      </w:r>
      <w:r>
        <w:rPr>
          <w:b/>
          <w:bCs/>
          <w:lang w:val="el" w:eastAsia="el"/>
        </w:rPr>
        <w:t>Το άρθρο 54 αφορά στην έναρξη ισχύος του ν. 5056/2023.</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48 και 54 του ν. 5056/2023, ως ακολούθως:</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«Απαλλαγή τελών για τις μεταβιβάσεις εκτάσεων για εγκαταστάσεις συνοριακών σταθμών»</w:t>
      </w:r>
    </w:p>
    <w:p>
      <w:pPr>
        <w:spacing w:before="240" w:after="240"/>
        <w:rPr>
          <w:lang w:val="el" w:eastAsia="el"/>
        </w:rPr>
      </w:pPr>
      <w:r>
        <w:rPr>
          <w:b/>
          <w:bCs/>
          <w:lang w:val="el" w:eastAsia="el"/>
        </w:rPr>
        <w:t>Στην παρ. 1 του άρθρου 48 του μέρους Ε΄του κοινοποιούμενου νόμου προβλέπεται ότι με κοινή απόφαση των αρμοδίων οργάνων των Υπουργείων Εσωτερικών, Εθνικής Οικονομίας και Οικονομικών και του κατά περίπτωση αρμόδιου Υπουργείου δύναται να παραχωρούνται στο Υπουργείο Εσωτερικών κατά κυριότητα ή χρήση άνευ ανταλλάγματος εκτάσεις ιδιοκτησίας φορέων της παρ. 1 του άρθρου 14 του ν. 4270/2014 (Α΄ 143) ή της Εταιρείας Ακινήτων Δημοσίου (ΕΤΑΔ) Α.Ε., για την εγκατάσταση και λειτουργία συνοριακών σταθμών, των συνοδών χώρων αυτών ή λοιπών βοηθητικών χώρων.</w:t>
      </w:r>
    </w:p>
    <w:p>
      <w:pPr>
        <w:spacing w:before="240" w:after="240"/>
        <w:rPr>
          <w:lang w:val="el" w:eastAsia="el"/>
        </w:rPr>
      </w:pPr>
      <w:r>
        <w:rPr>
          <w:b/>
          <w:bCs/>
          <w:lang w:val="el" w:eastAsia="el"/>
        </w:rPr>
        <w:t>Με την παρ. 2 του άρθρου 48 του κοινοποιούμενου νόμου ορίζεται ότι οι εδαφικές εκτάσεις, που παραχωρούνται κατά κυριότητα ή χρήση στο Υπουργείο Εσωτερικών για τη δημιουργία κτιριακών εγκαταστάσεων των συνοριακών σταθμών, των συνοδών χώρων αυτών ή λοιπών βοηθητικών χώρων, μεταγράφονται ατελώς στα οικεία βιβλία μεταγραφών των αρμόδιων Υποθηκοφυλακείων ή Κτηματολογικών Γραφείων και κάθε σχετική πράξη απαλλάσσεται από κάθε φόρο μεταβίβασης ακινήτου, τέλος χαρτοσήμου ή άλλο φόρο ή τέλος ή δικαίωμα, πάγιο και αναλογικό, υπέρ Δημοσίου, υποθηκοφυλάκων και οιουδήποτε τρίτου. Για τους σκοπούς της περιέλευσης στο Υπουργείο Εσωτερικών της κυριότητας ή χρήσης των χώρων του πρώτου εδαφίου, τα κατά τόπους αρμόδια Υποθηκοφυλακεία και Κτηματολογικά Γραφεία χορηγούν ατελώς πιστοποιητικά, αντίγραφα, διαγράμματα και αποσπάσματα από τα κτηματολογικά φύλλα, από τα διαγράμματα και γενικώς από κάθε τηρούμενο κτηματολογικό στοιχείο, καθώς και από κάθε άλλο τηρούμενο αρχείο.</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την παρ. 1 του άρθρου 54 του μέρους Ζ΄του κοινοποιούμενου νόμου ορίζεται ότι, υπό την επιφύλαξη των παρ. 2, 3 και 4 του άρθρου αυτού, η ισχύς του νόμου αυτού αρχίζει από τη δημοσίευσή του στην Εφημερίδα της Κυβερνήσεως.</w:t>
      </w:r>
    </w:p>
    <w:p>
      <w:pPr>
        <w:spacing w:before="240" w:after="240"/>
        <w:rPr>
          <w:lang w:val="el" w:eastAsia="el"/>
        </w:rPr>
      </w:pPr>
      <w:r>
        <w:rPr>
          <w:b/>
          <w:bCs/>
          <w:lang w:val="el" w:eastAsia="el"/>
        </w:rPr>
        <w:t>Με την παρ. 2 του άρθρου αυτού του κοινοποιούμενου νόμου προβλέπεται ότι η ισχύς του Μέρους Β’ αρχίζει την 1η.1.2024, με την παρ. 3 ότι η ισχύς του άρθρου 34 αρχίζει τη 14η.12.2022 και με την παρ. 4 ότι η ισχύς του άρθρου 50 αρχίζει τη 15η.9.2023.</w:t>
      </w:r>
    </w:p>
    <w:p>
      <w:pPr>
        <w:spacing w:before="240" w:after="240"/>
        <w:rPr>
          <w:lang w:val="el" w:eastAsia="el"/>
        </w:rPr>
      </w:pPr>
      <w:r>
        <w:rPr>
          <w:b/>
          <w:bCs/>
          <w:lang w:val="el" w:eastAsia="el"/>
        </w:rPr>
        <w:t>Συνημμένα: Απόσπασμα του ΦΕΚ Α΄163/06.10.2023 (άρθρα 48 και 54 του ν. 5056/2023)</w:t>
      </w:r>
    </w:p>
    <w:p>
      <w:pPr>
        <w:spacing w:before="240" w:after="240"/>
        <w:rPr>
          <w:lang w:val="el" w:eastAsia="el"/>
        </w:rPr>
      </w:pPr>
      <w:r>
        <w:rPr>
          <w:b/>
          <w:bCs/>
          <w:lang w:val="el" w:eastAsia="el"/>
        </w:rPr>
        <w:t>Ο ΔΙΟΙΚΗΤΗΣΤΗΣ ΑΝΕΞΑΡΤΗΤΗΣ ΑΡΧΗΣ ΔΗΜΟΣΙΩΝ ΕΣΟΔΩΝ α.α</w:t>
      </w:r>
    </w:p>
    <w:p>
      <w:pPr>
        <w:spacing w:before="240" w:after="240"/>
        <w:rPr>
          <w:lang w:val="el" w:eastAsia="el"/>
        </w:rPr>
      </w:pPr>
      <w:r>
        <w:rPr>
          <w:b/>
          <w:bCs/>
          <w:lang w:val="el" w:eastAsia="el"/>
        </w:rPr>
        <w:t>ΓΕΩΡΓΙΟΣ ΦΑΚΟΣ(ΔΔΑΔ Γ 1021773 ΕΞ 2023)</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 Β΄και Δ΄</w:t>
      </w:r>
    </w:p>
    <w:p>
      <w:pPr>
        <w:pStyle w:val="MainText"/>
        <w:spacing w:before="120" w:after="0"/>
        <w:rPr>
          <w:lang w:val="el" w:eastAsia="el"/>
        </w:rPr>
      </w:pPr>
      <w:r>
        <w:rPr>
          <w:b/>
          <w:bCs/>
          <w:lang w:val="el" w:eastAsia="el"/>
        </w:rPr>
        <w:t>2.</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Γεν. Γραμματέα Φορολογικής Πολιτικής</w:t>
      </w:r>
    </w:p>
    <w:p>
      <w:pPr>
        <w:spacing w:before="240" w:after="240"/>
        <w:rPr>
          <w:lang w:val="el" w:eastAsia="el"/>
        </w:rPr>
      </w:pPr>
      <w:r>
        <w:rPr>
          <w:lang w:val="el" w:eastAsia="el"/>
        </w:rPr>
        <w:t xml:space="preserve">III. </w:t>
      </w:r>
      <w:r>
        <w:rPr>
          <w:b/>
          <w:bCs/>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