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6ΖΖ846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 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Τηλέφωνα : 210 3375312, 317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2. ΔΙΕΥΘΥΝΣΗ ΔΙΑΔΙΚΑΣΙΩΝ ΕΙΣΠΡΑΞΕΩΝ</w:t>
      </w:r>
    </w:p>
    <w:p>
      <w:pPr>
        <w:pStyle w:val="PreambelText"/>
        <w:spacing w:before="240" w:after="240"/>
        <w:rPr>
          <w:lang w:val="el" w:eastAsia="el"/>
        </w:rPr>
      </w:pPr>
      <w:r>
        <w:rPr>
          <w:b/>
          <w:bCs/>
          <w:lang w:val="el" w:eastAsia="el"/>
        </w:rPr>
        <w:t>ΚΑΙ ΕΠΙΣΤΡΟΦΩΝ - ΤΜΗΜΑΤΑ Α΄, Β’</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2103605159</w:t>
      </w:r>
    </w:p>
    <w:p>
      <w:pPr>
        <w:pStyle w:val="PreambelText"/>
        <w:spacing w:before="240" w:after="240"/>
        <w:rPr>
          <w:lang w:val="el" w:eastAsia="el"/>
        </w:rPr>
      </w:pPr>
      <w:r>
        <w:rPr>
          <w:b/>
          <w:bCs/>
          <w:lang w:val="el" w:eastAsia="el"/>
        </w:rPr>
        <w:t>2103635044</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ΘΕΜΑ: Κοινοποίηση των διατάξεων των άρθρων 21 και 24 του ν. 5062/2023 «Νέο σύστημα επιλογής διοικήσεων φορέων του δημοσίου τομέα, ενίσχυση της αποτελεσματικότητάς τους και λοιπές διατάξεις» (Α΄183/03.11.2023).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ΠΕΡΙΛΗΨΗ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ΑΝΤΙΚΕΙΜΕΝΟ</w:t>
            </w:r>
          </w:p>
          <w:p>
            <w:pPr>
              <w:spacing w:before="240" w:after="240"/>
              <w:rPr>
                <w:b w:val="0"/>
                <w:bCs w:val="0"/>
                <w:i w:val="0"/>
                <w:iCs w:val="0"/>
                <w:smallCaps w:val="0"/>
                <w:color w:val="000000"/>
                <w:lang w:val="el" w:eastAsia="el"/>
              </w:rPr>
            </w:pPr>
            <w:r>
              <w:rPr>
                <w:b/>
                <w:bCs/>
                <w:i w:val="0"/>
                <w:iCs w:val="0"/>
                <w:smallCaps w:val="0"/>
                <w:color w:val="000000"/>
                <w:lang w:val="el" w:eastAsia="el"/>
              </w:rPr>
              <w:t>Κοινοποίηση των διατάξεων των άρθρων 21 και 24 του ν. 5062/2023.</w:t>
            </w:r>
          </w:p>
          <w:p>
            <w:pPr>
              <w:spacing w:before="240" w:after="240"/>
              <w:rPr>
                <w:b w:val="0"/>
                <w:bCs w:val="0"/>
                <w:i w:val="0"/>
                <w:iCs w:val="0"/>
                <w:smallCaps w:val="0"/>
                <w:color w:val="000000"/>
                <w:lang w:val="el" w:eastAsia="el"/>
              </w:rPr>
            </w:pPr>
            <w:r>
              <w:rPr>
                <w:b/>
                <w:bCs/>
                <w:i w:val="0"/>
                <w:iCs w:val="0"/>
                <w:smallCaps w:val="0"/>
                <w:color w:val="000000"/>
                <w:lang w:val="el" w:eastAsia="el"/>
              </w:rPr>
              <w:t>Β) ΠΕΡΙΕΧΟΜΕΝΟ</w:t>
            </w:r>
          </w:p>
          <w:p>
            <w:pPr>
              <w:spacing w:before="240" w:after="240"/>
              <w:rPr>
                <w:b w:val="0"/>
                <w:bCs w:val="0"/>
                <w:i w:val="0"/>
                <w:iCs w:val="0"/>
                <w:smallCaps w:val="0"/>
                <w:color w:val="000000"/>
                <w:lang w:val="el" w:eastAsia="el"/>
              </w:rPr>
            </w:pPr>
            <w:r>
              <w:rPr>
                <w:b/>
                <w:bCs/>
                <w:i w:val="0"/>
                <w:iCs w:val="0"/>
                <w:smallCaps w:val="0"/>
                <w:color w:val="000000"/>
                <w:lang w:val="el" w:eastAsia="el"/>
              </w:rPr>
              <w:t>Κοινοποίηση των διατάξεων των κάτωθι άρθρων του ν. 5062/2023: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άρθρο 21 «Ενίσχυση για γεωργικές εκμεταλλεύσεις οι οποίες επλήγησαν από τα ακραία καιρικά φαινόμενα του Σεπτεμβρίου 2023».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άρθρο 24 »Έναρξη ισχύος».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ΠΕΔΙΟ ΕΦΑΡΜΟΓΗΣ</w:t>
            </w:r>
          </w:p>
          <w:p>
            <w:pPr>
              <w:spacing w:before="240" w:after="240"/>
              <w:rPr>
                <w:b w:val="0"/>
                <w:bCs w:val="0"/>
                <w:i w:val="0"/>
                <w:iCs w:val="0"/>
                <w:smallCaps w:val="0"/>
                <w:color w:val="000000"/>
                <w:lang w:val="el" w:eastAsia="el"/>
              </w:rPr>
            </w:pPr>
            <w:r>
              <w:rPr>
                <w:b/>
                <w:bCs/>
                <w:i w:val="0"/>
                <w:iCs w:val="0"/>
                <w:smallCaps w:val="0"/>
                <w:color w:val="000000"/>
                <w:lang w:val="el" w:eastAsia="el"/>
              </w:rPr>
              <w:t>Το άρθρο 21 αφορά σε φυσικά, νομικά πρόσωπα και νομικές οντότητες που είχαν ζημιές στη φυτική παραγωγή και στο ζωικό κεφάλαιο, οι οποίες προκλήθηκαν από τα ακραία καιρικά φαινόμενα του Σεπτεμβρίου 2023.</w:t>
            </w:r>
          </w:p>
          <w:p>
            <w:pPr>
              <w:spacing w:before="240"/>
              <w:rPr>
                <w:b w:val="0"/>
                <w:bCs w:val="0"/>
                <w:i w:val="0"/>
                <w:iCs w:val="0"/>
                <w:smallCaps w:val="0"/>
                <w:color w:val="000000"/>
                <w:lang w:val="el" w:eastAsia="el"/>
              </w:rPr>
            </w:pPr>
            <w:r>
              <w:rPr>
                <w:b/>
                <w:bCs/>
                <w:i w:val="0"/>
                <w:iCs w:val="0"/>
                <w:smallCaps w:val="0"/>
                <w:color w:val="000000"/>
                <w:lang w:val="el" w:eastAsia="el"/>
              </w:rPr>
              <w:t>Το άρθρο 24 αφορά στην έναρξη ισχύος του ν. 5062/2023.</w:t>
            </w:r>
          </w:p>
        </w:tc>
      </w:tr>
    </w:tbl>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21 και 24 του ν. 5062/2023 (Α΄183), ως εξής: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«Ενίσχυση για γεωργικές εκμεταλλεύσεις οι οποίες επλήγησαν από τα ακραία καιρικά φαινόμενα του Σεπτεμβρίου 2023»</w:t>
      </w:r>
    </w:p>
    <w:p>
      <w:pPr>
        <w:spacing w:before="240" w:after="240"/>
        <w:rPr>
          <w:lang w:val="el" w:eastAsia="el"/>
        </w:rPr>
      </w:pPr>
      <w:r>
        <w:rPr>
          <w:b/>
          <w:bCs/>
          <w:lang w:val="el" w:eastAsia="el"/>
        </w:rPr>
        <w:t>Σύμφωνα με τις διατάξεις της παρ. 1 του άρθρου 21 του κοινοποιούμενου νόμου μπορεί να χορηγείται ενίσχυση, σε γεωργικές εκμεταλλεύσεις, σύμφωνα με τους κανόνες περί κρατικών ενισχύσεων, ως αντιστάθμισμα για ζημιές στη φυτική παραγωγή και στο ζωικό κεφάλαιο, οι οποίες προκλήθηκαν από τα ακραία καιρικά φαινόμενα του Σεπτεμβρίου 2023. Δικαιούχοι είναι φυσικά, νομικά πρόσωπα και νομικές οντότητες. Η δράση υλοποιείται από τον Οργανισμό Ελληνικών Γεωργικών Ασφαλίσεων (ΕΛΓΑ) και η σχετική δαπάνη βαρύνει τον κρατικό προϋπολογισμό. Για την υλοποίηση της δράσης, με απόφαση του Υπουργού Εθνικής Οικονομίας και Οικονομικών επιχορηγείται ο ΕΛΓΑ από τον κρατικό προϋπολογισμό.</w:t>
      </w:r>
    </w:p>
    <w:p>
      <w:pPr>
        <w:spacing w:before="240" w:after="240"/>
        <w:rPr>
          <w:lang w:val="el" w:eastAsia="el"/>
        </w:rPr>
      </w:pPr>
      <w:r>
        <w:rPr>
          <w:b/>
          <w:bCs/>
          <w:lang w:val="el" w:eastAsia="el"/>
        </w:rPr>
        <w:t>Σύμφωνα με τις διατάξεις της παρ. 2 του άρθρου 21 του κοινοποιούμενου νόμου η ενίσχυση της παρ. 1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Κώδικα Φορολογίας Εισοδήματος (ν. 4172/2013, Α΄ 167) σε περίπτωση διανομής ή κεφαλαιοποίησής της, δεν υπόκειται σε οποιοδήποτε τέλος, εισφορά ή άλλη κράτηση υπέρ του Δημοσίου,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τις διατάξεις της παρ. 3 του άρθρου 21 του κοινοποιούμενου νόμου ορίζεται πως με κοινή απόφαση των Υπουργών Αγροτικής Ανάπτυξης και Τροφίμων και Εθνικής Οικονομίας και Οικονομικών καθορίζεται η μορφή της ενίσχυσης, εξειδικεύονται οι δικαιούχοι, το ύψος της ενίσχυσης και η μεθοδολογία προσδιορισμού της, οι ειδικότεροι όροι και προϋποθέσεις, η διαδικασία χορήγησης της ενίσχυσης, τα απαιτούμενα δικαιολογητικά και ο τρόπος καταβολής της, οι υποχρεώσεις των δικαιούχων,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τις διατάξεις του άρθρου 24 του κοινοποιούμενου νόμου ορίζεται ότι η ισχύς του νόμου αυτού αρχίζει από τη δημοσίευσή του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ΦΕΚ Α΄183/3.11.2023: άρθρα 21 και 24 του ν. 5062/2023.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 Γραμματείας Φορολογικής Πολιτικής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deisep@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