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21 Φεβρουαρίου 2024</w:t>
      </w:r>
    </w:p>
    <w:p>
      <w:pPr>
        <w:pStyle w:val="PreambelText"/>
        <w:spacing w:before="240" w:after="240"/>
        <w:rPr>
          <w:lang w:val="el" w:eastAsia="el"/>
        </w:rPr>
      </w:pPr>
      <w:r>
        <w:rPr>
          <w:b/>
          <w:bCs/>
          <w:lang w:val="el" w:eastAsia="el"/>
        </w:rPr>
        <w:t>Ο.3008.</w:t>
      </w:r>
    </w:p>
    <w:p>
      <w:pPr>
        <w:pStyle w:val="PreambelText"/>
        <w:spacing w:before="240" w:after="240"/>
        <w:rPr>
          <w:lang w:val="el" w:eastAsia="el"/>
        </w:rPr>
      </w:pPr>
      <w:r>
        <w:rPr>
          <w:lang w:val="el" w:eastAsia="el"/>
        </w:rPr>
        <w:t xml:space="preserve">1. </w:t>
      </w:r>
      <w:r>
        <w:rPr>
          <w:b/>
          <w:bCs/>
          <w:lang w:val="el" w:eastAsia="el"/>
        </w:rPr>
        <w:t>ΔΙΕΥΘΥΝΣΗ ΔΙΑΔΙΚΑΣΙΩΝ ΕΙΣΠΡΑΞΕΩΝ ΚΑΙ</w:t>
      </w:r>
    </w:p>
    <w:p>
      <w:pPr>
        <w:pStyle w:val="PreambelText"/>
        <w:spacing w:before="240" w:after="240"/>
        <w:rPr>
          <w:lang w:val="el" w:eastAsia="el"/>
        </w:rPr>
      </w:pPr>
      <w:r>
        <w:rPr>
          <w:b/>
          <w:bCs/>
          <w:lang w:val="el" w:eastAsia="el"/>
        </w:rPr>
        <w:t>ΕΠΙΣΤΡΟΦΩΝ (ΔΙ.Δ.ΕΙΣ.ΕΠ.)</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 Πανεπιστημίου 20</w:t>
      </w:r>
    </w:p>
    <w:p>
      <w:pPr>
        <w:pStyle w:val="PreambelText"/>
        <w:spacing w:before="240" w:after="240"/>
        <w:rPr>
          <w:lang w:val="el" w:eastAsia="el"/>
        </w:rPr>
      </w:pPr>
      <w:r>
        <w:rPr>
          <w:b/>
          <w:bCs/>
          <w:lang w:val="el" w:eastAsia="el"/>
        </w:rPr>
        <w:t>: 10672, Αθήνα</w:t>
      </w:r>
    </w:p>
    <w:p>
      <w:pPr>
        <w:pStyle w:val="PreambelText"/>
        <w:spacing w:before="240" w:after="240"/>
        <w:rPr>
          <w:lang w:val="el" w:eastAsia="el"/>
        </w:rPr>
      </w:pPr>
      <w:r>
        <w:rPr>
          <w:b/>
          <w:bCs/>
          <w:lang w:val="el" w:eastAsia="el"/>
        </w:rPr>
        <w:t>: 210 3636059,</w:t>
      </w:r>
    </w:p>
    <w:p>
      <w:pPr>
        <w:pStyle w:val="PreambelText"/>
        <w:spacing w:before="240" w:after="240"/>
        <w:rPr>
          <w:lang w:val="el" w:eastAsia="el"/>
        </w:rPr>
      </w:pPr>
      <w:r>
        <w:rPr>
          <w:b/>
          <w:bCs/>
          <w:lang w:val="el" w:eastAsia="el"/>
        </w:rPr>
        <w:t>210 3635044</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dideisep@aade.gr</w:t>
        </w:r>
      </w:hyperlink>
    </w:p>
    <w:p>
      <w:pPr>
        <w:pStyle w:val="PreambelText"/>
        <w:spacing w:before="240" w:after="240"/>
        <w:rPr>
          <w:lang w:val="el" w:eastAsia="el"/>
        </w:rPr>
      </w:pPr>
      <w:r>
        <w:rPr>
          <w:lang w:val="el" w:eastAsia="el"/>
        </w:rPr>
        <w:t xml:space="preserve">2. </w:t>
      </w:r>
      <w:r>
        <w:rPr>
          <w:b/>
          <w:bCs/>
          <w:lang w:val="el" w:eastAsia="el"/>
        </w:rPr>
        <w:t>ΔΙΕΥΘΥΝΣΗ ΕΦΑΡΜΟΓΗΣ ΑΜΕΣΗΣ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Τηλέφωνα : 210 3375316</w:t>
      </w:r>
    </w:p>
    <w:p>
      <w:pPr>
        <w:spacing w:before="240" w:after="240"/>
        <w:rPr>
          <w:lang w:val="el" w:eastAsia="el"/>
        </w:rPr>
      </w:pPr>
      <w:r>
        <w:rPr>
          <w:b/>
          <w:bCs/>
          <w:lang w:val="el" w:eastAsia="el"/>
        </w:rPr>
        <w:t>Email :</w:t>
      </w:r>
      <w:hyperlink r:id="rId5" w:history="1">
        <w:r>
          <w:rPr>
            <w:rStyle w:val="Hyperlink"/>
            <w:b/>
            <w:bCs/>
            <w:color w:val="0000EE"/>
            <w:u w:color="0000EE"/>
            <w:lang w:val="el" w:eastAsia="el"/>
          </w:rPr>
          <w:t>deaf@aade.gr</w:t>
        </w:r>
      </w:hyperlink>
    </w:p>
    <w:p>
      <w:pPr>
        <w:spacing w:before="240" w:after="240"/>
        <w:rPr>
          <w:lang w:val="el" w:eastAsia="el"/>
        </w:rPr>
      </w:pPr>
      <w:r>
        <w:rPr>
          <w:b/>
          <w:bCs/>
          <w:lang w:val="el" w:eastAsia="el"/>
        </w:rPr>
        <w:t xml:space="preserve">3. </w:t>
      </w: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Β΄</w:t>
      </w:r>
      <w:r>
        <w:rPr>
          <w:b/>
          <w:bCs/>
          <w:lang w:val="el" w:eastAsia="el"/>
        </w:rPr>
        <w:t xml:space="preserve"> </w:t>
      </w:r>
    </w:p>
    <w:p>
      <w:pPr>
        <w:pStyle w:val="Heading1"/>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 10672, Αθήνα</w:t>
      </w:r>
    </w:p>
    <w:p>
      <w:pPr>
        <w:spacing w:before="240" w:after="240"/>
        <w:rPr>
          <w:lang w:val="el" w:eastAsia="el"/>
        </w:rPr>
      </w:pPr>
      <w:r>
        <w:rPr>
          <w:b/>
          <w:bCs/>
          <w:lang w:val="el" w:eastAsia="el"/>
        </w:rPr>
        <w:t>Τηλέφωνα : 2132122400</w:t>
      </w:r>
    </w:p>
    <w:p>
      <w:pPr>
        <w:spacing w:before="240" w:after="240"/>
        <w:rPr>
          <w:lang w:val="el" w:eastAsia="el"/>
        </w:rPr>
      </w:pPr>
      <w:r>
        <w:rPr>
          <w:b/>
          <w:bCs/>
          <w:lang w:val="el" w:eastAsia="el"/>
        </w:rPr>
        <w:t>Email :</w:t>
      </w:r>
      <w:hyperlink r:id="rId6" w:history="1">
        <w:r>
          <w:rPr>
            <w:rStyle w:val="Hyperlink"/>
            <w:b/>
            <w:bCs/>
            <w:color w:val="0000EE"/>
            <w:u w:color="0000EE"/>
            <w:lang w:val="el" w:eastAsia="el"/>
          </w:rPr>
          <w:t>de ef@aade.gr</w:t>
        </w:r>
      </w:hyperlink>
    </w:p>
    <w:p>
      <w:pPr>
        <w:spacing w:before="240" w:after="240"/>
        <w:rPr>
          <w:lang w:val="el" w:eastAsia="el"/>
        </w:rPr>
      </w:pPr>
      <w:r>
        <w:rPr>
          <w:b/>
          <w:bCs/>
          <w:lang w:val="el" w:eastAsia="el"/>
        </w:rPr>
        <w:t>ΘΕΜΑ: Κοινοποίηση των άρθρων 30, 36, 37, 38 και 40 του ν. 5086/2024</w:t>
      </w:r>
    </w:p>
    <w:p>
      <w:pPr>
        <w:spacing w:before="240" w:after="240"/>
        <w:rPr>
          <w:lang w:val="el" w:eastAsia="el"/>
        </w:rPr>
      </w:pPr>
      <w:r>
        <w:rPr>
          <w:b/>
          <w:bCs/>
          <w:lang w:val="el" w:eastAsia="el"/>
        </w:rPr>
        <w:t>(«Εθνική Αρχή Κυβερνοασφάλειας και λοιπές διατάξεις», Α΄23)</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άρθρων 30, 36, 37, 38 και 40 του ν. 5086/2024</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5086/2024:</w:t>
      </w:r>
    </w:p>
    <w:p>
      <w:pPr>
        <w:spacing w:before="240" w:after="240"/>
        <w:rPr>
          <w:lang w:val="el" w:eastAsia="el"/>
        </w:rPr>
      </w:pPr>
      <w:r>
        <w:rPr>
          <w:b/>
          <w:bCs/>
          <w:lang w:val="el" w:eastAsia="el"/>
        </w:rPr>
        <w:t xml:space="preserve">1. </w:t>
      </w:r>
      <w:r>
        <w:rPr>
          <w:b/>
          <w:bCs/>
          <w:lang w:val="el" w:eastAsia="el"/>
        </w:rPr>
        <w:t>του άρθρου 30 «Ημερομηνία έναρξης παραγωγικής λειτουργίας της πλατφόρμας έκδοσης πιστοποιητικού οικονομικής ενημερότητας - Τροποποίηση παρ. 4 άρθρου 22 ν. 4934/2022»</w:t>
      </w:r>
    </w:p>
    <w:p>
      <w:pPr>
        <w:spacing w:before="240" w:after="240"/>
        <w:rPr>
          <w:lang w:val="el" w:eastAsia="el"/>
        </w:rPr>
      </w:pPr>
      <w:r>
        <w:rPr>
          <w:b/>
          <w:bCs/>
          <w:lang w:val="el" w:eastAsia="el"/>
        </w:rPr>
        <w:t xml:space="preserve">2. </w:t>
      </w:r>
      <w:r>
        <w:rPr>
          <w:b/>
          <w:bCs/>
          <w:lang w:val="el" w:eastAsia="el"/>
        </w:rPr>
        <w:t>του άρθρου 36 «Χρονική εφαρμογή ειδικής εισφοράς ανά θερμική μεγαβατώρα υπέρ του Ταμείου Ενεργειακής Μετάβασης στις εταιρείες ηλεκτροπαραγωγής- Μεταβατική διάταξη- Κατάργηση άρθρου 62 ν. 4986/2022»</w:t>
      </w:r>
    </w:p>
    <w:p>
      <w:pPr>
        <w:spacing w:before="240" w:after="240"/>
        <w:rPr>
          <w:lang w:val="el" w:eastAsia="el"/>
        </w:rPr>
      </w:pPr>
      <w:r>
        <w:rPr>
          <w:b/>
          <w:bCs/>
          <w:lang w:val="el" w:eastAsia="el"/>
        </w:rPr>
        <w:t xml:space="preserve">3. </w:t>
      </w:r>
      <w:r>
        <w:rPr>
          <w:b/>
          <w:bCs/>
          <w:lang w:val="el" w:eastAsia="el"/>
        </w:rPr>
        <w:t>του άρθρου 37 παρ. 1 «Ψηφιακή κάρτα για τη στήριξη περιοχών που πλήττονται από φυσικές καταστροφές— Προσθήκη άρθρου 6Β στον ν. 4797/2021»</w:t>
      </w:r>
    </w:p>
    <w:p>
      <w:pPr>
        <w:spacing w:before="240" w:after="240"/>
        <w:rPr>
          <w:lang w:val="el" w:eastAsia="el"/>
        </w:rPr>
      </w:pPr>
      <w:r>
        <w:rPr>
          <w:b/>
          <w:bCs/>
          <w:lang w:val="el" w:eastAsia="el"/>
        </w:rPr>
        <w:t xml:space="preserve">4. </w:t>
      </w:r>
      <w:r>
        <w:rPr>
          <w:b/>
          <w:bCs/>
          <w:lang w:val="el" w:eastAsia="el"/>
        </w:rPr>
        <w:t xml:space="preserve">του άρθρου 38 παρ. 1 </w:t>
      </w:r>
      <w:r>
        <w:rPr>
          <w:b/>
          <w:bCs/>
          <w:lang w:val="el" w:eastAsia="el"/>
        </w:rPr>
        <w:t>«</w:t>
      </w:r>
      <w:r>
        <w:rPr>
          <w:b/>
          <w:bCs/>
          <w:lang w:val="el" w:eastAsia="el"/>
        </w:rPr>
        <w:t xml:space="preserve">Χορήγηση ενισχύσεων σε επιχειρήσεις και αγροτικές εκμεταλλεύσεις </w:t>
      </w:r>
      <w:r>
        <w:rPr>
          <w:b/>
          <w:bCs/>
          <w:u w:val="single"/>
          <w:lang w:val="el" w:eastAsia="el"/>
        </w:rPr>
        <w:t>με οικονομικές απώλειες σε περιοχές που επλήγησαν από φυσικές καταστροφές - Προσθήκη</w:t>
      </w:r>
      <w:r>
        <w:rPr>
          <w:b/>
          <w:bCs/>
          <w:lang w:val="el" w:eastAsia="el"/>
        </w:rPr>
        <w:t xml:space="preserve"> άρθρου 6Γ στον ν. 4797/2021»</w:t>
      </w:r>
    </w:p>
    <w:p>
      <w:pPr>
        <w:spacing w:before="240" w:after="240"/>
        <w:rPr>
          <w:lang w:val="el" w:eastAsia="el"/>
        </w:rPr>
      </w:pPr>
      <w:r>
        <w:rPr>
          <w:b/>
          <w:bCs/>
          <w:lang w:val="el" w:eastAsia="el"/>
        </w:rPr>
        <w:t xml:space="preserve">5. </w:t>
      </w:r>
      <w:r>
        <w:rPr>
          <w:b/>
          <w:bCs/>
          <w:lang w:val="el" w:eastAsia="el"/>
        </w:rPr>
        <w:t>του άρθρου 40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1. </w:t>
      </w:r>
      <w:r>
        <w:rPr>
          <w:b/>
          <w:bCs/>
          <w:lang w:val="el" w:eastAsia="el"/>
        </w:rPr>
        <w:t>Το άρθρο 30 αφορά στην ημερομηνία έναρξης παραγωγικής λειτουργίας της πλατφόρμας έκδοσης του πιστοποιητικού οικονομικής ενημερότητας.</w:t>
      </w:r>
    </w:p>
    <w:p>
      <w:pPr>
        <w:spacing w:before="240" w:after="240"/>
        <w:rPr>
          <w:lang w:val="el" w:eastAsia="el"/>
        </w:rPr>
      </w:pPr>
      <w:r>
        <w:rPr>
          <w:b/>
          <w:bCs/>
          <w:lang w:val="el" w:eastAsia="el"/>
        </w:rPr>
        <w:t xml:space="preserve">2. </w:t>
      </w:r>
      <w:r>
        <w:rPr>
          <w:b/>
          <w:bCs/>
          <w:lang w:val="el" w:eastAsia="el"/>
        </w:rPr>
        <w:t>Το άρθρο 36 αφορά στη χρονική εφαρμογή ειδικής εισφοράς ανά θερμική μεγαβατώρα υπέρ του Ταμείου Ενεργειακής Μετάβασης στις εταιρείες ηλεκτροπαραγωγής</w:t>
      </w:r>
    </w:p>
    <w:p>
      <w:pPr>
        <w:spacing w:before="240" w:after="240"/>
        <w:rPr>
          <w:lang w:val="el" w:eastAsia="el"/>
        </w:rPr>
      </w:pPr>
      <w:r>
        <w:rPr>
          <w:b/>
          <w:bCs/>
          <w:lang w:val="el" w:eastAsia="el"/>
        </w:rPr>
        <w:t xml:space="preserve">3. </w:t>
      </w:r>
      <w:r>
        <w:rPr>
          <w:b/>
          <w:bCs/>
          <w:lang w:val="el" w:eastAsia="el"/>
        </w:rPr>
        <w:t>Το άρθρο 37 αφορά στην προσθήκη άρθρου 6Β στον ν. 4797/2021 σχετικά με τη θέσπιση Ψηφιακής κάρτας για τη στήριξη περιοχών που πλήττονται από φυσικές καταστροφές. Το άρθρο αυτό αφορά σε περιοχές που επλήγησαν από φυσικές καταστροφές, και συγκεκριμένα, σε ενήλικα φυσικά πρόσωπα, προς τον σκοπό ενίσχυσης της δραστηριότητας συγκεκριμένων τομέων της οικονομίας.</w:t>
      </w:r>
    </w:p>
    <w:p>
      <w:pPr>
        <w:spacing w:before="240" w:after="240"/>
        <w:rPr>
          <w:lang w:val="el" w:eastAsia="el"/>
        </w:rPr>
      </w:pPr>
      <w:r>
        <w:rPr>
          <w:b/>
          <w:bCs/>
          <w:lang w:val="el" w:eastAsia="el"/>
        </w:rPr>
        <w:t xml:space="preserve">4. </w:t>
      </w:r>
      <w:r>
        <w:rPr>
          <w:b/>
          <w:bCs/>
          <w:lang w:val="el" w:eastAsia="el"/>
        </w:rPr>
        <w:t>Το άρθρο 38 αφορά στην προσθήκη άρθρου 6Β στον ν. 4797/2021 σχετικά με τη χορήγηση ενισχύσεων σε επιχειρήσεις και αγροτικές εκμεταλλεύσεις με οικονομικές απώλειες σε περιοχές που επλήγησαν από φυσικές καταστροφές</w:t>
      </w:r>
    </w:p>
    <w:p>
      <w:pPr>
        <w:spacing w:before="240" w:after="240"/>
        <w:rPr>
          <w:lang w:val="el" w:eastAsia="el"/>
        </w:rPr>
      </w:pPr>
      <w:r>
        <w:rPr>
          <w:b/>
          <w:bCs/>
          <w:lang w:val="el" w:eastAsia="el"/>
        </w:rPr>
        <w:t xml:space="preserve">5. </w:t>
      </w:r>
      <w:r>
        <w:rPr>
          <w:b/>
          <w:bCs/>
          <w:lang w:val="el" w:eastAsia="el"/>
        </w:rPr>
        <w:t>Το άρθρο 40 αφορά στην έναρξη ισχύος των κοινοποιούμενων διατάξεων</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30, 36, 37, 38 και 40 του ν. 5086/2024 (Α΄23), ως εξής: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«Ημερομηνία έναρξης παραγωγικής λειτουργίας της πλατφόρμας έκδοσης πιστοποιητικού οικονομικής ενημερότητας - Τροποποίηση παρ. 4 άρθρου 22 ν. 4934/2022» Στην παρ. 4 του άρθρου 22 του ν. 4934/2022 (Α’ 100), περί έναρξης της παραγωγικής λειτουργίας της πλατφόρμας έκδοσης του πιστοποιητικού οικονομικής ενημερότητας, η φράση «εκκινεί την 31η.12.2023» αντικαθίσταται από τη φράση «εκκινεί την 30ή.9.2024» και η παρ. 4 διαμορφώνεται ως εξής: «4. Η παραγωγική λειτουργία της ως άνω πλατφόρμας εκκινεί την 30ή.9.2024.»</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«Χρονική εφαρμογή ειδικής εισφοράς ανά θερμική μεγαβατώρα υπέρ του Ταμείου Ενεργειακής Μετάβασης στις εταιρείες ηλεκτροπαραγωγής- Μεταβατική διάταξη- Κατάργηση άρθρου 62 ν. 4986/2022»</w:t>
      </w:r>
    </w:p>
    <w:p>
      <w:pPr>
        <w:spacing w:before="240" w:after="240"/>
        <w:rPr>
          <w:lang w:val="el" w:eastAsia="el"/>
        </w:rPr>
      </w:pPr>
      <w:r>
        <w:rPr>
          <w:b/>
          <w:bCs/>
          <w:lang w:val="el" w:eastAsia="el"/>
        </w:rPr>
        <w:t xml:space="preserve">«1 </w:t>
      </w:r>
      <w:r>
        <w:rPr>
          <w:b/>
          <w:bCs/>
          <w:lang w:val="el" w:eastAsia="el"/>
        </w:rPr>
        <w:t>. Για το φυσικό αέριο που καταναλώθηκε από τους υπόχρεους παραγωγούς ηλεκτρικής ενέργειας, προς κάλυψη των αναγκών ηλεκτροπαραγωγής, έως και τη δημοσίευση του παρόντος, εξακολουθεί να εφαρμόζεται η διαδικασία του άρθρου 62 του ν. 4986/2022 (Α’ 204).</w:t>
      </w:r>
    </w:p>
    <w:p>
      <w:pPr>
        <w:spacing w:before="240" w:after="240"/>
        <w:rPr>
          <w:lang w:val="el" w:eastAsia="el"/>
        </w:rPr>
      </w:pPr>
      <w:r>
        <w:rPr>
          <w:b/>
          <w:bCs/>
          <w:lang w:val="el" w:eastAsia="el"/>
        </w:rPr>
        <w:t xml:space="preserve">2. </w:t>
      </w:r>
      <w:r>
        <w:rPr>
          <w:b/>
          <w:bCs/>
          <w:lang w:val="el" w:eastAsia="el"/>
        </w:rPr>
        <w:t>Από την 1η Ιανουαρίου 2024 έως την έναρξη ισχύος του παρόντος, τα έσοδα από την ειδική εισφορά του άρθρου 62 του ν. 4986/2022, διατίθενται εξ ολοκλήρου, σύμφωνα με την περ. (α) της παρ. 9 του ως άνω άρθρου.</w:t>
      </w:r>
    </w:p>
    <w:p>
      <w:pPr>
        <w:spacing w:before="240" w:after="240"/>
        <w:rPr>
          <w:lang w:val="el" w:eastAsia="el"/>
        </w:rPr>
      </w:pPr>
      <w:r>
        <w:rPr>
          <w:b/>
          <w:bCs/>
          <w:lang w:val="el" w:eastAsia="el"/>
        </w:rPr>
        <w:t xml:space="preserve">3. </w:t>
      </w:r>
      <w:r>
        <w:rPr>
          <w:b/>
          <w:bCs/>
          <w:lang w:val="el" w:eastAsia="el"/>
        </w:rPr>
        <w:t>Από την έναρξη ισχύος του παρόντος καταργείται το άρθρο 62 του ν. 4986/2022, περί ειδικής εισφοράς ανά θερμική μεγαβατώρα υπέρ του Ταμείου Ενεργειακής Μετάβασης στις εταιρείες ηλεκτροπαραγωγής.»</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«Ψηφιακή κάρτα για τη στήριξη περιοχών που πλήττονται από φυσικές καταστροφές— Προσθήκη άρθρου 6Β στον ν. 4797/2021»</w:t>
      </w:r>
    </w:p>
    <w:p>
      <w:pPr>
        <w:spacing w:before="240" w:after="240"/>
        <w:rPr>
          <w:lang w:val="el" w:eastAsia="el"/>
        </w:rPr>
      </w:pPr>
      <w:r>
        <w:rPr>
          <w:b/>
          <w:bCs/>
          <w:lang w:val="el" w:eastAsia="el"/>
        </w:rPr>
        <w:t>Σύμφωνα με την παρ. 1 της κοινοποιούμενης διάταξης, στον ν. 4797/2021 (Α’ 66) προστίθεται νέο άρθρο 6Β «Ψηφιακή κάρτα για τη στήριξη περιοχών που πλήττονται από φυσικές καταστροφές», στις παρ. 1, 5 και 6 του οποίου ορίζεται ότι:</w:t>
      </w:r>
    </w:p>
    <w:p>
      <w:pPr>
        <w:spacing w:before="240" w:after="240"/>
        <w:rPr>
          <w:lang w:val="el" w:eastAsia="el"/>
        </w:rPr>
      </w:pPr>
      <w:r>
        <w:rPr>
          <w:b/>
          <w:bCs/>
          <w:lang w:val="el" w:eastAsia="el"/>
        </w:rPr>
        <w:t xml:space="preserve">«1 </w:t>
      </w:r>
      <w:r>
        <w:rPr>
          <w:b/>
          <w:bCs/>
          <w:lang w:val="el" w:eastAsia="el"/>
        </w:rPr>
        <w:t>. Σε περιοχές που επλήγησαν από φυσικές καταστροφές, δύναται να παρέχεται οικονομική διευκόλυνση από τον προϋπολογισμό του Υπουργείου Ψηφιακής Διακυβέρνησης, σε ενήλικα φυσικά πρόσωπα, προς τον σκοπό ενίσχυσης της δραστηριότητας συγκεκριμένων τομέων της οικονομίας, κατόπιν εισήγησης της Κυβερνητικής Επιτροπής Κρατικής Αρωγής.</w:t>
      </w:r>
    </w:p>
    <w:p>
      <w:pPr>
        <w:spacing w:before="240" w:after="240"/>
        <w:rPr>
          <w:lang w:val="el" w:eastAsia="el"/>
        </w:rPr>
      </w:pPr>
      <w:r>
        <w:rPr>
          <w:b/>
          <w:bCs/>
          <w:lang w:val="el" w:eastAsia="el"/>
        </w:rPr>
        <w:t xml:space="preserve">5. </w:t>
      </w:r>
      <w:r>
        <w:rPr>
          <w:b/>
          <w:bCs/>
          <w:lang w:val="el" w:eastAsia="el"/>
        </w:rPr>
        <w:t>Για τον σκοπό της επαλήθευσης των προϋποθέσεων υπαγωγής στο μέτρο οικονομικής διευκόλυνσης, το πληροφοριακό σύστημα της εφαρμογής διαλειτουργεί με τα απαραίτητα μητρώα, και ιδίως με το Φορολογικό Μητρώο της Ανεξάρτητης Αρχής Δημοσίων Εσόδων, του άρθρου 10 του Κώδικα Φορολογικής Διαδικασίας (ν. 4987/2022, Α’ 206).</w:t>
      </w:r>
    </w:p>
    <w:p>
      <w:pPr>
        <w:spacing w:before="240" w:after="240"/>
        <w:rPr>
          <w:lang w:val="el" w:eastAsia="el"/>
        </w:rPr>
      </w:pPr>
      <w:r>
        <w:rPr>
          <w:b/>
          <w:bCs/>
          <w:lang w:val="el" w:eastAsia="el"/>
        </w:rPr>
        <w:t xml:space="preserve">6. </w:t>
      </w:r>
      <w:r>
        <w:rPr>
          <w:b/>
          <w:bCs/>
          <w:lang w:val="el" w:eastAsia="el"/>
        </w:rPr>
        <w:t>Η οικονομική διευκόλυνση του παρόντος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στη φορολογική διοίκηση και το Δημόσιο εν γένει, τους δήμους και τα νομικά τους πρόσωπα,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«Χορήγηση ενισχύσεων σε επιχειρήσεις και αγροτικές εκμεταλλεύσεις με οικονομικές απώλειες σε περιοχές που επλήγησαν από φυσικές καταστροφές- Προσθήκη άρθρου 6Γ στον ν. 4797/2021»</w:t>
      </w:r>
    </w:p>
    <w:p>
      <w:pPr>
        <w:spacing w:before="240" w:after="240"/>
        <w:rPr>
          <w:lang w:val="el" w:eastAsia="el"/>
        </w:rPr>
      </w:pPr>
      <w:r>
        <w:rPr>
          <w:b/>
          <w:bCs/>
          <w:lang w:val="el" w:eastAsia="el"/>
        </w:rPr>
        <w:t>Σύμφωνα με την παρ. 1 της κοινοποιούμενης διάταξης στον ν. 4797/2021 (Α’ 66) μετά το άρθρο, προστίθεται νέο άρθρο 6Γ στην παρ. 3 του οποίου ορίζεται ότι:</w:t>
      </w:r>
    </w:p>
    <w:p>
      <w:pPr>
        <w:spacing w:before="240" w:after="240"/>
        <w:rPr>
          <w:lang w:val="el" w:eastAsia="el"/>
        </w:rPr>
      </w:pPr>
      <w:r>
        <w:rPr>
          <w:b/>
          <w:bCs/>
          <w:lang w:val="el" w:eastAsia="el"/>
        </w:rPr>
        <w:t>«3. Η ενίσχυση είναι αφορολόγητη, ανεκχώρητη και ακατάσχετη στα χέρια του Δημοσίου ή τρίτων, κατά παρέκκλιση κάθε γενικής και ειδικής διάταξης, μη εφαρμοζομένης της παρ. 1 του άρθρου 47 του Κώδικα Φορολογίας Εισοδήματος (ν. 4172/2013, Α’ 167), σε περίπτωση διανομής ή κεφαλαιοποίησής της δεν υπόκειται σε οποιαδήποτε κράτηση, τέλος ή εισφορά,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την παρ. 1 της κοινοποιούμενης διάταξης η ισχύς των διατάξεων του ν. 5086/2024 αρχίζει από τη δημοσίευσή του στην Εφημερίδα της Κυβερνήσεως με την επιφύλαξη της παρ. 2 του άρθρου 40.</w:t>
      </w:r>
    </w:p>
    <w:p>
      <w:pPr>
        <w:spacing w:before="240" w:after="240"/>
        <w:rPr>
          <w:lang w:val="el" w:eastAsia="el"/>
        </w:rPr>
      </w:pPr>
      <w:r>
        <w:rPr>
          <w:b/>
          <w:bCs/>
          <w:lang w:val="el" w:eastAsia="el"/>
        </w:rPr>
        <w:t>Συνημμένο: Απόσπασμα του ΦΕΚ Α΄23/14-2-2024: άρθρα 30, 36, 37, 38, 40 του ν. 5086/2024</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Υφυπουργού Οικονομίας και Οικονομικών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Διαδικασιών Εισπράξεων και Επιστροφών – Τμήματα Α,Β,Γ, Γραμματεία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eaf@aade.gr" TargetMode="External" /><Relationship Id="rId6" Type="http://schemas.openxmlformats.org/officeDocument/2006/relationships/hyperlink" Target="mailto:deef@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