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 (Γ.Δ.Φ.)</w:t>
      </w:r>
    </w:p>
    <w:p>
      <w:pPr>
        <w:pStyle w:val="PreambelText"/>
        <w:spacing w:before="240" w:after="240"/>
        <w:rPr>
          <w:lang w:val="el" w:eastAsia="el"/>
        </w:rPr>
      </w:pPr>
      <w:r>
        <w:rPr>
          <w:b/>
          <w:bCs/>
          <w:lang w:val="el" w:eastAsia="el"/>
        </w:rPr>
        <w:t>I. ΔΙΕΥΘΥΝΣΗ ΕΛΕΓΚΤΙΚΩΝ ΔΙΑΔΙΚΑΣΙΩΝ</w:t>
      </w:r>
    </w:p>
    <w:p>
      <w:pPr>
        <w:pStyle w:val="PreambelText"/>
        <w:spacing w:before="240" w:after="240"/>
        <w:rPr>
          <w:lang w:val="el" w:eastAsia="el"/>
        </w:rPr>
      </w:pPr>
      <w:r>
        <w:rPr>
          <w:b/>
          <w:bCs/>
          <w:lang w:val="el" w:eastAsia="el"/>
        </w:rPr>
        <w:t>(ΔΙ.ΕΛ.ΔΙ.)</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b/>
          <w:bCs/>
          <w:lang w:val="el" w:eastAsia="el"/>
        </w:rPr>
        <w:t>Ταχ. Δ/νση : Χανδρή 1 &amp; Θεσσαλονίκης</w:t>
      </w:r>
    </w:p>
    <w:p>
      <w:pPr>
        <w:pStyle w:val="PreambelText"/>
        <w:spacing w:before="240" w:after="240"/>
        <w:rPr>
          <w:lang w:val="el" w:eastAsia="el"/>
        </w:rPr>
      </w:pPr>
      <w:r>
        <w:rPr>
          <w:b/>
          <w:bCs/>
          <w:lang w:val="el" w:eastAsia="el"/>
        </w:rPr>
        <w:t>Ταχ. Κώδ. : 18346, Μοσχάτο</w:t>
      </w:r>
    </w:p>
    <w:p>
      <w:pPr>
        <w:pStyle w:val="PreambelText"/>
        <w:spacing w:before="240" w:after="240"/>
        <w:rPr>
          <w:lang w:val="el" w:eastAsia="el"/>
        </w:rPr>
      </w:pPr>
      <w:r>
        <w:rPr>
          <w:b/>
          <w:bCs/>
          <w:lang w:val="el" w:eastAsia="el"/>
        </w:rPr>
        <w:t>Τηλέφωνο : 2104802275</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dieldi@aade.gr</w:t>
        </w:r>
      </w:hyperlink>
    </w:p>
    <w:p>
      <w:pPr>
        <w:pStyle w:val="PreambelText"/>
        <w:spacing w:before="240" w:after="240"/>
        <w:rPr>
          <w:lang w:val="el" w:eastAsia="el"/>
        </w:rPr>
      </w:pPr>
      <w:r>
        <w:rPr>
          <w:b/>
          <w:bCs/>
          <w:lang w:val="el" w:eastAsia="el"/>
        </w:rPr>
        <w:t>II. ΔΙΕΥΘΥΝΣΗ ΔΙΑΔΙΚΑΣΙΩΝ ΕΙΣΠΡΑΞΕΩΝ ΚΑΙ ΕΠΙΣΤΡΟΦΩΝ (ΔΙ.Δ.ΕΙΣ.ΕΠ.)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0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w:t>
            </w:r>
          </w:p>
          <w:p>
            <w:pPr>
              <w:spacing w:before="240"/>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Πανεπιστημίου 20</w:t>
            </w:r>
          </w:p>
          <w:p>
            <w:pPr>
              <w:spacing w:before="240" w:after="240"/>
              <w:rPr>
                <w:b w:val="0"/>
                <w:bCs w:val="0"/>
                <w:i w:val="0"/>
                <w:iCs w:val="0"/>
                <w:smallCaps w:val="0"/>
                <w:color w:val="000000"/>
                <w:lang w:val="el" w:eastAsia="el"/>
              </w:rPr>
            </w:pPr>
            <w:r>
              <w:rPr>
                <w:b/>
                <w:bCs/>
                <w:i w:val="0"/>
                <w:iCs w:val="0"/>
                <w:smallCaps w:val="0"/>
                <w:color w:val="000000"/>
                <w:lang w:val="el" w:eastAsia="el"/>
              </w:rPr>
              <w:t>: 10184, Αθήνα</w:t>
            </w:r>
          </w:p>
          <w:p>
            <w:pPr>
              <w:spacing w:before="240" w:after="240"/>
              <w:rPr>
                <w:b w:val="0"/>
                <w:bCs w:val="0"/>
                <w:i w:val="0"/>
                <w:iCs w:val="0"/>
                <w:smallCaps w:val="0"/>
                <w:color w:val="000000"/>
                <w:lang w:val="el" w:eastAsia="el"/>
              </w:rPr>
            </w:pPr>
            <w:r>
              <w:rPr>
                <w:b/>
                <w:bCs/>
                <w:i w:val="0"/>
                <w:iCs w:val="0"/>
                <w:smallCaps w:val="0"/>
                <w:color w:val="000000"/>
                <w:lang w:val="el" w:eastAsia="el"/>
              </w:rPr>
              <w:t>: 2103605159</w:t>
            </w:r>
          </w:p>
          <w:p>
            <w:pPr>
              <w:spacing w:before="240"/>
              <w:rPr>
                <w:b w:val="0"/>
                <w:bCs w:val="0"/>
                <w:i w:val="0"/>
                <w:iCs w:val="0"/>
                <w:smallCaps w:val="0"/>
                <w:color w:val="000000"/>
                <w:lang w:val="el" w:eastAsia="el"/>
              </w:rPr>
            </w:pPr>
            <w:r>
              <w:rPr>
                <w:b/>
                <w:bCs/>
                <w:i w:val="0"/>
                <w:iCs w:val="0"/>
                <w:smallCaps w:val="0"/>
                <w:color w:val="000000"/>
                <w:lang w:val="el" w:eastAsia="el"/>
              </w:rPr>
              <w:t>2103635044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 xml:space="preserve">dideisep </w:t>
              </w:r>
              <w:r>
                <w:rPr>
                  <w:rStyle w:val="Hyperlink"/>
                  <w:b/>
                  <w:bCs/>
                  <w:i w:val="0"/>
                  <w:iCs w:val="0"/>
                  <w:smallCaps w:val="0"/>
                  <w:color w:val="0000EE"/>
                  <w:u w:color="0000EE"/>
                  <w:lang w:val="el" w:eastAsia="el"/>
                </w:rPr>
                <w:t xml:space="preserve">@ </w:t>
              </w:r>
              <w:r>
                <w:rPr>
                  <w:rStyle w:val="Hyperlink"/>
                  <w:b/>
                  <w:bCs/>
                  <w:i w:val="0"/>
                  <w:iCs w:val="0"/>
                  <w:smallCaps w:val="0"/>
                  <w:color w:val="0000EE"/>
                  <w:u w:color="0000EE"/>
                  <w:lang w:val="el" w:eastAsia="el"/>
                </w:rPr>
                <w:t>aade.gr</w:t>
              </w:r>
            </w:hyperlink>
          </w:p>
        </w:tc>
      </w:tr>
    </w:tbl>
    <w:p>
      <w:pPr>
        <w:pStyle w:val="PreambelText"/>
        <w:spacing w:before="240" w:after="240"/>
        <w:rPr>
          <w:lang w:val="el" w:eastAsia="el"/>
        </w:rPr>
      </w:pPr>
      <w:r>
        <w:rPr>
          <w:b/>
          <w:bCs/>
          <w:lang w:val="el" w:eastAsia="el"/>
        </w:rPr>
        <w:t>ΙII. ΔΙΕΥΘΥΝΣΗ ΕΦΑΡΜΟΓΗΣ ΕΜΜΕΣΗΣ ΦΟΡΟΛΟΓΙΑΣ (Δ.Ε.Ε.Φ.)</w:t>
      </w:r>
    </w:p>
    <w:p>
      <w:pPr>
        <w:pStyle w:val="PreambelText"/>
        <w:spacing w:before="240" w:after="240"/>
        <w:rPr>
          <w:lang w:val="el" w:eastAsia="el"/>
        </w:rPr>
      </w:pPr>
      <w:r>
        <w:rPr>
          <w:b/>
          <w:bCs/>
          <w:lang w:val="el" w:eastAsia="el"/>
        </w:rPr>
        <w:t>ΤΜΗΜΑΤΑ Α’ ,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3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Σίνα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10672,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2132122416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6" w:history="1">
              <w:r>
                <w:rPr>
                  <w:rStyle w:val="Hyperlink"/>
                  <w:b/>
                  <w:bCs/>
                  <w:i w:val="0"/>
                  <w:iCs w:val="0"/>
                  <w:smallCaps w:val="0"/>
                  <w:color w:val="0000EE"/>
                  <w:u w:color="0000EE"/>
                  <w:lang w:val="el" w:eastAsia="el"/>
                </w:rPr>
                <w:t>deef@aade.gr</w:t>
              </w:r>
            </w:hyperlink>
          </w:p>
        </w:tc>
      </w:tr>
    </w:tbl>
    <w:p>
      <w:pPr>
        <w:pStyle w:val="PreambelText"/>
        <w:spacing w:before="240" w:after="240"/>
        <w:rPr>
          <w:lang w:val="el" w:eastAsia="el"/>
        </w:rPr>
      </w:pPr>
      <w:r>
        <w:rPr>
          <w:b/>
          <w:bCs/>
          <w:lang w:val="el" w:eastAsia="el"/>
        </w:rPr>
        <w:t>IV. ΔΙΕΥΘΥΝΣΗ ΕΦΑΡΜΟΓΗΣ ΦΟΡΟΛΟΓΙΑΣ ΚΕΦΑΛΑΙΟΥ &amp; ΠΕΡΙΟΥΣΙΟΛΟΓΙΟΥ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54"/>
        <w:gridCol w:w="27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(Δ.Ε.Φ.Κ. &amp; Π.) 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Χανδρή 1 &amp;</w:t>
            </w:r>
          </w:p>
          <w:p>
            <w:pPr>
              <w:spacing w:before="240"/>
              <w:rPr>
                <w:b w:val="0"/>
                <w:bCs w:val="0"/>
                <w:i w:val="0"/>
                <w:iCs w:val="0"/>
                <w:smallCaps w:val="0"/>
                <w:color w:val="000000"/>
                <w:lang w:val="el" w:eastAsia="el"/>
              </w:rPr>
            </w:pPr>
            <w:r>
              <w:rPr>
                <w:b/>
                <w:bCs/>
                <w:i w:val="0"/>
                <w:iCs w:val="0"/>
                <w:smallCaps w:val="0"/>
                <w:color w:val="000000"/>
                <w:lang w:val="el" w:eastAsia="el"/>
              </w:rPr>
              <w:t>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 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18346,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210 4802670</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7" w:history="1">
              <w:r>
                <w:rPr>
                  <w:rStyle w:val="Hyperlink"/>
                  <w:b/>
                  <w:bCs/>
                  <w:i w:val="0"/>
                  <w:iCs w:val="0"/>
                  <w:smallCaps w:val="0"/>
                  <w:color w:val="0000EE"/>
                  <w:u w:color="0000EE"/>
                  <w:lang w:val="el" w:eastAsia="el"/>
                </w:rPr>
                <w:t>defk@aade.gr</w:t>
              </w:r>
            </w:hyperlink>
          </w:p>
        </w:tc>
      </w:tr>
    </w:tbl>
    <w:p>
      <w:pPr>
        <w:pStyle w:val="PreambelText"/>
        <w:spacing w:before="240" w:after="240"/>
        <w:rPr>
          <w:lang w:val="el" w:eastAsia="el"/>
        </w:rPr>
      </w:pPr>
      <w:r>
        <w:rPr>
          <w:b/>
          <w:bCs/>
          <w:lang w:val="el" w:eastAsia="el"/>
        </w:rPr>
        <w:t>ΘΕΜΑ: Κοινοποίηση των διατάξεων των άρθρων 17 παρ. 1, 2 και 4, 18 παρ. 2, 19 παρ. 1-3, 21, 27, 39 - 45, 51, 52, 56 και 63 του ν. 5092/2024 «Όροι αξιοποίησης της δημόσιας περιουσίας στις παραθαλάσσιες περιοχές και άλλες διατάξεις.» (Α΄33/04.03.2024).</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17 παρ. 1, 2 και 4, 18 παρ. 2, 19 παρ. 1-3, 21, 27, 39 - 45, 51, 52, 56 και 63 του ν. 5092/2024 «Όροι αξιοποίησης της δημόσιας περιουσίας στις παραθαλάσσιες περιοχές και άλλες διατάξεις.» (Α΄33/04.03.2024).</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5092/2024:</w:t>
      </w:r>
    </w:p>
    <w:p>
      <w:pPr>
        <w:pStyle w:val="PreambelText"/>
        <w:spacing w:before="240" w:after="240"/>
        <w:rPr>
          <w:lang w:val="el" w:eastAsia="el"/>
        </w:rPr>
      </w:pPr>
      <w:r>
        <w:rPr>
          <w:lang w:val="el" w:eastAsia="el"/>
        </w:rPr>
        <w:t xml:space="preserve">1. </w:t>
      </w:r>
      <w:r>
        <w:rPr>
          <w:b/>
          <w:bCs/>
          <w:lang w:val="el" w:eastAsia="el"/>
        </w:rPr>
        <w:t>Άρθρο 17 Έλεγχοι</w:t>
      </w:r>
    </w:p>
    <w:p>
      <w:pPr>
        <w:pStyle w:val="PreambelText"/>
        <w:spacing w:before="240" w:after="240"/>
        <w:rPr>
          <w:lang w:val="el" w:eastAsia="el"/>
        </w:rPr>
      </w:pPr>
      <w:r>
        <w:rPr>
          <w:lang w:val="el" w:eastAsia="el"/>
        </w:rPr>
        <w:t xml:space="preserve">2. </w:t>
      </w:r>
      <w:r>
        <w:rPr>
          <w:b/>
          <w:bCs/>
          <w:lang w:val="el" w:eastAsia="el"/>
        </w:rPr>
        <w:t>Άρθρο 18 Μέτρα προστασίας της κοινοχρησίας - Διοικητικά μέτρα</w:t>
      </w:r>
    </w:p>
    <w:p>
      <w:pPr>
        <w:pStyle w:val="PreambelText"/>
        <w:spacing w:before="240" w:after="240"/>
        <w:rPr>
          <w:lang w:val="el" w:eastAsia="el"/>
        </w:rPr>
      </w:pPr>
      <w:r>
        <w:rPr>
          <w:lang w:val="el" w:eastAsia="el"/>
        </w:rPr>
        <w:t xml:space="preserve">3. </w:t>
      </w:r>
      <w:r>
        <w:rPr>
          <w:b/>
          <w:bCs/>
          <w:lang w:val="el" w:eastAsia="el"/>
        </w:rPr>
        <w:t>Άρθρο 19 Διοικητικές κυρώσεις</w:t>
      </w:r>
    </w:p>
    <w:p>
      <w:pPr>
        <w:pStyle w:val="PreambelText"/>
        <w:spacing w:before="240" w:after="240"/>
        <w:rPr>
          <w:lang w:val="el" w:eastAsia="el"/>
        </w:rPr>
      </w:pPr>
      <w:r>
        <w:rPr>
          <w:lang w:val="el" w:eastAsia="el"/>
        </w:rPr>
        <w:t xml:space="preserve">4. </w:t>
      </w:r>
      <w:r>
        <w:rPr>
          <w:b/>
          <w:bCs/>
          <w:lang w:val="el" w:eastAsia="el"/>
        </w:rPr>
        <w:t>Άρθρο 21 Αναλογική εφαρμογή για όχθες, παρόχθιες ζώνες, υδάτινο στοιχείο, πυθμένα και το υπέδαφος του βυθού της θάλασσας, λιμνοθάλασσας, λίμνης και κοίτης πλεύσιμου ποταμού και χώρους ζώνης λιμένα</w:t>
      </w:r>
    </w:p>
    <w:p>
      <w:pPr>
        <w:pStyle w:val="PreambelText"/>
        <w:spacing w:before="240" w:after="240"/>
        <w:rPr>
          <w:lang w:val="el" w:eastAsia="el"/>
        </w:rPr>
      </w:pPr>
      <w:r>
        <w:rPr>
          <w:lang w:val="el" w:eastAsia="el"/>
        </w:rPr>
        <w:t xml:space="preserve">5. </w:t>
      </w:r>
      <w:r>
        <w:rPr>
          <w:b/>
          <w:bCs/>
          <w:lang w:val="el" w:eastAsia="el"/>
        </w:rPr>
        <w:t>Άρθρο 27 Παραχώρηση ακινήτου για εργοταξιακό χώρο του έργου Ζεύξη Ρίου – Αντιρρίου</w:t>
      </w:r>
    </w:p>
    <w:p>
      <w:pPr>
        <w:pStyle w:val="PreambelText"/>
        <w:spacing w:before="240" w:after="240"/>
        <w:rPr>
          <w:lang w:val="el" w:eastAsia="el"/>
        </w:rPr>
      </w:pPr>
      <w:r>
        <w:rPr>
          <w:lang w:val="el" w:eastAsia="el"/>
        </w:rPr>
        <w:t xml:space="preserve">6. </w:t>
      </w:r>
      <w:r>
        <w:rPr>
          <w:b/>
          <w:bCs/>
          <w:lang w:val="el" w:eastAsia="el"/>
        </w:rPr>
        <w:t>Άρθρο 39 Αναστολή πλειστηριασμών πυρόπληκτων – Τροποποίηση άρθρου 84 ν. 4916/2022</w:t>
      </w:r>
    </w:p>
    <w:p>
      <w:pPr>
        <w:pStyle w:val="PreambelText"/>
        <w:spacing w:before="240" w:after="240"/>
        <w:rPr>
          <w:lang w:val="el" w:eastAsia="el"/>
        </w:rPr>
      </w:pPr>
      <w:r>
        <w:rPr>
          <w:lang w:val="el" w:eastAsia="el"/>
        </w:rPr>
        <w:t xml:space="preserve">7. </w:t>
      </w:r>
      <w:r>
        <w:rPr>
          <w:b/>
          <w:bCs/>
          <w:lang w:val="el" w:eastAsia="el"/>
        </w:rPr>
        <w:t>Άρθρο 40 Επιστροφή ειδικού φόρου κατανάλωσης πετρελαίου εσωτερικής καύσης (DIESEL) κινητήρων που χρησιμοποιείται αποκλειστικά στη γεωργία – Προσθήκη παρ. 4β στο άρθρο 78 του Εθνικού Τελωνειακού Κώδικα</w:t>
      </w:r>
    </w:p>
    <w:p>
      <w:pPr>
        <w:pStyle w:val="PreambelText"/>
        <w:spacing w:before="240" w:after="240"/>
        <w:rPr>
          <w:lang w:val="el" w:eastAsia="el"/>
        </w:rPr>
      </w:pPr>
      <w:r>
        <w:rPr>
          <w:lang w:val="el" w:eastAsia="el"/>
        </w:rPr>
        <w:t xml:space="preserve">8. </w:t>
      </w:r>
      <w:r>
        <w:rPr>
          <w:b/>
          <w:bCs/>
          <w:lang w:val="el" w:eastAsia="el"/>
        </w:rPr>
        <w:t>Άρθρο 41 Απαλλαγή δωρεών προς το Οικουμενικό Πατριαρχείο από Φόρο Προστιθέμενης Αξίας</w:t>
      </w:r>
    </w:p>
    <w:p>
      <w:pPr>
        <w:pStyle w:val="PreambelText"/>
        <w:spacing w:before="240" w:after="240"/>
        <w:rPr>
          <w:lang w:val="el" w:eastAsia="el"/>
        </w:rPr>
      </w:pPr>
      <w:r>
        <w:rPr>
          <w:lang w:val="el" w:eastAsia="el"/>
        </w:rPr>
        <w:t xml:space="preserve">9. </w:t>
      </w:r>
      <w:r>
        <w:rPr>
          <w:b/>
          <w:bCs/>
          <w:lang w:val="el" w:eastAsia="el"/>
        </w:rPr>
        <w:t>Άρθρο 42 Υποχρεώσεις παρόχων υπηρεσιών τεχνικής υποστήριξης φορολογικών ηλεκτρονικών μηχανισμών και συστημάτων διαχείρισης επιχειρηματικών πόρων, εισαγωγέων, κατασκευαστών και εμπόρων φορολογικών ηλεκτρονικών μηχανισμών - Εξουσιοδοτική διάταξη - Τροποποίηση άρθρου 15Β Κώδικα Φορολογικής Διαδικασίας</w:t>
      </w:r>
    </w:p>
    <w:p>
      <w:pPr>
        <w:pStyle w:val="PreambelText"/>
        <w:spacing w:before="240" w:after="240"/>
        <w:rPr>
          <w:lang w:val="el" w:eastAsia="el"/>
        </w:rPr>
      </w:pPr>
      <w:r>
        <w:rPr>
          <w:lang w:val="el" w:eastAsia="el"/>
        </w:rPr>
        <w:t xml:space="preserve">10. </w:t>
      </w:r>
      <w:r>
        <w:rPr>
          <w:b/>
          <w:bCs/>
          <w:lang w:val="el" w:eastAsia="el"/>
        </w:rPr>
        <w:t>Άρθρο 43 Κυρώσεις για παραβάσεις υποχρέωσης υποβολής δήλωσης ή αποστολής πληροφοριών για υπηρεσίες τεχνικής υποστήριξης φορολογικών ηλεκτρονικών μηχανισμών ή εμπορικού/λογιστικού προγράμματος διαχείρισης - Προσθήκη παρ. 1Β στο άρθρο 54 Κώδικα Φορολογικής Διαδικασίας</w:t>
      </w:r>
    </w:p>
    <w:p>
      <w:pPr>
        <w:pStyle w:val="PreambelText"/>
        <w:spacing w:before="240" w:after="240"/>
        <w:rPr>
          <w:lang w:val="el" w:eastAsia="el"/>
        </w:rPr>
      </w:pPr>
      <w:r>
        <w:rPr>
          <w:lang w:val="el" w:eastAsia="el"/>
        </w:rPr>
        <w:t xml:space="preserve">11. </w:t>
      </w:r>
      <w:r>
        <w:rPr>
          <w:b/>
          <w:bCs/>
          <w:lang w:val="el" w:eastAsia="el"/>
        </w:rPr>
        <w:t>Άρθρο 44 Κυρώσεις για παραβίαση της υποχρέωσης του άρθρου 15Β του Κώδικα Φορολογικής Διαδικασίας - Αντικατάσταση άρθρου 54Θ Κώδικα Φορολογικής Διαδικασίας - Εξουσιοδοτική διάταξη</w:t>
      </w:r>
    </w:p>
    <w:p>
      <w:pPr>
        <w:pStyle w:val="PreambelText"/>
        <w:spacing w:before="240" w:after="240"/>
        <w:rPr>
          <w:lang w:val="el" w:eastAsia="el"/>
        </w:rPr>
      </w:pPr>
      <w:r>
        <w:rPr>
          <w:lang w:val="el" w:eastAsia="el"/>
        </w:rPr>
        <w:t xml:space="preserve">12. </w:t>
      </w:r>
      <w:r>
        <w:rPr>
          <w:b/>
          <w:bCs/>
          <w:lang w:val="el" w:eastAsia="el"/>
        </w:rPr>
        <w:t>Άρθρο 45 Κυρώσεις για παραβίαση των υποχρεώσεων του άρθρου 15Γ του Κώδικα Φορολογικής Διαδικασίας - Εξουσιοδοτική διάταξη - Τροποποίηση άρθρου 54ΙΒ Κώδικα Φορολογικής Διαδικασίας</w:t>
      </w:r>
    </w:p>
    <w:p>
      <w:pPr>
        <w:pStyle w:val="PreambelText"/>
        <w:spacing w:before="240" w:after="240"/>
        <w:rPr>
          <w:lang w:val="el" w:eastAsia="el"/>
        </w:rPr>
      </w:pPr>
      <w:r>
        <w:rPr>
          <w:lang w:val="el" w:eastAsia="el"/>
        </w:rPr>
        <w:t xml:space="preserve">13. </w:t>
      </w:r>
      <w:r>
        <w:rPr>
          <w:b/>
          <w:bCs/>
          <w:lang w:val="el" w:eastAsia="el"/>
        </w:rPr>
        <w:t>Άρθρο 51 Συμβάσεις προμήθειας τροχαίου υλικού για εκτέλεση συγκοινωνιακού έργου με μέσα οδικής μεταφοράς – Τροποποίηση άρθρου 33 ν. 4647/2019</w:t>
      </w:r>
    </w:p>
    <w:p>
      <w:pPr>
        <w:pStyle w:val="PreambelText"/>
        <w:spacing w:before="240" w:after="240"/>
        <w:rPr>
          <w:lang w:val="el" w:eastAsia="el"/>
        </w:rPr>
      </w:pPr>
      <w:r>
        <w:rPr>
          <w:lang w:val="el" w:eastAsia="el"/>
        </w:rPr>
        <w:t xml:space="preserve">14. </w:t>
      </w:r>
      <w:r>
        <w:rPr>
          <w:b/>
          <w:bCs/>
          <w:lang w:val="el" w:eastAsia="el"/>
        </w:rPr>
        <w:t>Άρθρο 52 Συγκοινωνιακό έργο Οργανισμού Αστικών Συγκοινωνιών Θεσσαλονίκης - Τροποποίηση άρθρου 26 ν. 4482/2017</w:t>
      </w:r>
    </w:p>
    <w:p>
      <w:pPr>
        <w:pStyle w:val="PreambelText"/>
        <w:spacing w:before="240" w:after="240"/>
        <w:rPr>
          <w:lang w:val="el" w:eastAsia="el"/>
        </w:rPr>
      </w:pPr>
      <w:r>
        <w:rPr>
          <w:lang w:val="el" w:eastAsia="el"/>
        </w:rPr>
        <w:t xml:space="preserve">15. </w:t>
      </w:r>
      <w:r>
        <w:rPr>
          <w:b/>
          <w:bCs/>
          <w:lang w:val="el" w:eastAsia="el"/>
        </w:rPr>
        <w:t>Άρθρο 56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16. Άρθρο 63 Έναρξη ισχύος</w:t>
      </w:r>
    </w:p>
    <w:p>
      <w:pPr>
        <w:pStyle w:val="enacting"/>
        <w:spacing w:before="120" w:after="0"/>
        <w:rPr>
          <w:lang w:val="el" w:eastAsia="el"/>
        </w:rPr>
      </w:pPr>
      <w:r>
        <w:rPr>
          <w:b/>
          <w:bCs/>
          <w:lang w:val="el" w:eastAsia="el"/>
        </w:rPr>
        <w:t>Γ) ΠΕΔΙΟ ΕΦΑΡΜΟΓΗΣ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Αφορά στον καθορισμό της κατά περίπτωση ελεγκτικής και διαπιστωτικής αρμοδιότητας για την τήρηση των προαναφερόμενων όρων αξιοποίησης των αιγιαλών και παραλιών είτε μεμονωμένα είτε σε ομάδες κοινού ελέγχου.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Αφορά στην εφαρμογή μέτρων προστασίας της κοινοχρησίας και διοικητικών μέτρων από την Κτηματική Υπηρεσία ή τον οικείο Δήμο και την ΑΑΔΕ σε περίπτωση οικονομικής δραστηριότητας σε αιγιαλό ή παραλία που έχει καταληφθεί χωρίς να υπάρχει σύμβαση παραχώρησης.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Αφορά στις περιπτώσεις εφαρμογής διοικητικών κυρώσεων από την Κτηματική Υπηρεσία και την ΑΑΔΕ.</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Αφορά στην ανάλογη εφαρμογή των άρθρων 17, 18, 19 και 20 για όχθες, παρόχθιες ζώνες, υδάτινο στοιχείο, πυθμένα και το υπέδαφος του βυθού της θάλασσας, λιμνοθάλασσας, λίμνης και κοίτης πλεύσιμου ποταμού.</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Αφορά όσους εμπλέκονται στη Σύμβαση Παραχώρησης του Έργου της Μελέτης, Κατασκευής, Χρηματοδότησης και Εκμετάλλευσης της Γέφυρας Ρίου - Αντιρρίου, η οποία κυρώθηκε με τον ν. 2395/1996 (Α΄ 71).</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Αφορά στην αναστολή κάθε πράξης αναγκαστικής εκτέλεσης κινητών και ακινήτων, καθώς και των προθεσμιών άσκησης ανακοπών και αιτήσεων που αφορούν τη διαδικασία της αναγκαστικής εκτέλεσης σε βάρος φυσικών ή νομικών προσώπων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έως την 31η.12.2024.</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Αφορά στο ανεκχώρητο, ακατάσχετο και ασυμψήφιστο του ποσού επιστροφής του ειδικού φόρου κατανάλωσης.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Αφορά στην εφαρμογή της περ. ιστ. της παρ.1 του αρθ.27 του κώδικα ΦΠΑ για τις περιπτώσεις δωρεών προς το Οικουμενικό Πατριαρχείο για εργασίες επι ακινήτων που του ανήκουν κατά κυριότητα και χρησιμοποιούνται για την επιτέλεση του θρησκευτικού ή φιλανθρωπικού έργου του.</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Αφορά υποχρεώσεις παρόχων υπηρεσιών τεχνικής υποστήριξης φορολογικών ηλεκτρονικών μηχανισμών και συστημάτων διαχείρισης επιχειρηματικών πόρων, εισαγωγέων, κατασκευαστών και εμπόρων φορολογικών ηλεκτρονικών μηχανισμών.</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Αφορά οντότητες που παρέχουν υπηρεσίες τεχνικής υποστήριξης φορολογικών ηλεκτρονικών μηχανισμών ή εμπορικού/λογιστικού προγράμματος διαχείρισης (ERP)</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Αφορά οντότητες-χρήστες τερματικών «Ηλεκτρονικής Μεταφοράς Κεφαλαίων στο </w:t>
      </w:r>
      <w:r>
        <w:rPr>
          <w:b/>
          <w:bCs/>
          <w:u w:val="single"/>
          <w:lang w:val="el" w:eastAsia="el"/>
        </w:rPr>
        <w:t xml:space="preserve">Σημείο Πώλησης </w:t>
      </w:r>
      <w:r>
        <w:rPr>
          <w:b/>
          <w:bCs/>
          <w:u w:val="single"/>
          <w:lang w:val="el" w:eastAsia="el"/>
        </w:rPr>
        <w:t xml:space="preserve">(EFT/POS), </w:t>
      </w:r>
      <w:r>
        <w:rPr>
          <w:b/>
          <w:bCs/>
          <w:u w:val="single"/>
          <w:lang w:val="el" w:eastAsia="el"/>
        </w:rPr>
        <w:t>οντότητες με αντικείμενο δραστηριότητας την εισαγωγή,</w:t>
      </w:r>
      <w:r>
        <w:rPr>
          <w:b/>
          <w:bCs/>
          <w:lang w:val="el" w:eastAsia="el"/>
        </w:rPr>
        <w:t xml:space="preserve"> κατασκευή και εμπορία Φ.Η.Μ., οντότητες με αντικείμενο δραστηριότητας την κατασκευή Εμπορικών/Λογιστικών Προγραμμάτων Διαχείρισης (ERP) και την τεχνική υποστήριξη αυτών, οντότητες με αντικείμενο δραστηριότητας την παροχή υπηρεσιών τεχνικής υποστήριξης Φ.Η.Μ. ή εμπορικών/λογιστικών προγραμμάτων διαχείρισης (ERP) που δεν προβαίνουν στις διαδικασίες αναβάθμισης και διασύνδεσης των Φ.Η.Μ. ή του λογισμικού ηλεκτρονικής τιμολόγησης με τα τερματικά «EFT/POS» των χρηστών.</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Αφορά Παρόχους Υπηρεσιών Πληρωμών.</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Αφορά όσους εμπλέκονται στη σύναψη συμβάσεων προμήθειας τροχαίου υλικού για εκτέλεση συγκοινωνιακού έργου με μέσα οδικής μεταφοράς- Τροποποίηση άρθρου 33 ν 4647/2019.</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Αφορά όσους εμπλέκονται στην συμφωνίας μεταξύ του Ελληνικού Δημοσίου και του Ο.Α.Σ.Θ., αναφορικά το συγκοινωνιακό έργο στην Περιφερειακή Ενότητα Θεσσαλονίκης.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Αφορά στην τροποποίηση των διατάξεων του άρθρου 151 ν. 5078/2023 (Α΄211) περί ειδικής παροχής προστασίας της μητρότητας για ελεύθερες επαγγελματίες, αυτοαπασχολούμενες και αγρότισσες.</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17 παρ. 1, 2 και 4, 18 παρ. 2, - 19 παρ. 1-3, 21, 27, 39 - 45, 51, 52, 56 και 63 του ν. 5092/2024 «Όροι αξιοποίησης της δημόσιας περιουσίας στις παραθαλάσσιες περιοχές και άλλες διατάξεις.» (Α΄33/04.03.2024), ως ακολούθως: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Έλεγχοι</w:t>
      </w:r>
    </w:p>
    <w:p>
      <w:pPr>
        <w:spacing w:before="240" w:after="240"/>
        <w:rPr>
          <w:lang w:val="el" w:eastAsia="el"/>
        </w:rPr>
      </w:pPr>
      <w:r>
        <w:rPr>
          <w:b/>
          <w:bCs/>
          <w:lang w:val="el" w:eastAsia="el"/>
        </w:rPr>
        <w:t>Σύμφωνα με την παρ. 1 του άρθρου 17 του κοινοποιούμενου νόμου, η τήρηση του παρόντος στο σύνολο των αιγιαλών και παραλιών, καθώς και των όρων των συμβάσεων παραχώρησης, όπου έχει παραχωρηθεί η απλή χρήση, ελέγχεται από τον παραχωρούντα φορέα και από την Κτηματική Υπηρεσία. Ελεγκτική και διαπιστωτική αρμοδιότητα έχουν και οι οικείοι δήμοι, οι οποίοι διαβιβάζουν αμελλητί τα πορίσματα και τις εκθέσεις τους στην Κτηματική Υπηρεσία. Επιπροσθέτως, έχουν αρμοδιότητα οι ελεγκτικές υπηρεσίες της Ανεξάρτητης Αρχής Δημοσίων Εσόδων (Α.Α.Δ.Ε.), της Οικονομικής Αστυνομίας και του Υπουργείου Εθνικής Οικονομίας και Οικονομικών για τον έλεγχο συναφών φορολογικών παραβάσεων και οι εισαγγελικές αρχές για τον έλεγχο συναφών ποινικών παραβάσεων. Η Ελληνική Αστυνομία ασκεί τις αρμοδιότητές της και επικουρεί, όπου είναι απαραίτητο, τους φορείς των προηγούμενων εδαφίων.</w:t>
      </w:r>
    </w:p>
    <w:p>
      <w:pPr>
        <w:spacing w:before="240" w:after="240"/>
        <w:rPr>
          <w:lang w:val="el" w:eastAsia="el"/>
        </w:rPr>
      </w:pPr>
      <w:r>
        <w:rPr>
          <w:b/>
          <w:bCs/>
          <w:lang w:val="el" w:eastAsia="el"/>
        </w:rPr>
        <w:t>Σύμφωνα με την παρ. 2 του άρθρου 17 του κοινοποιούμενου νόμου, οι φορείς της παρ. 1 μπορούν να ασκούν τις αρμοδιότητές τους μεμονωμένα ή σε ομάδες κοινού ελέγχου, οι οποίες συγκροτούνται με σκοπό τον καλύτερο συντονισμό για την άσκηση των αρμοδιοτήτων του κάθε φορέα. Όταν συγκροτούνται ομάδες κοινού ελέγχου, η δράση τους συντονίζεται από τον παριστάμενο εισαγγελικό λειτουργό ή, ελλείψει αυτού, από τον παριστάμενο υπάλληλο του Υπουργείου Εθνικής Οικονομίας και Οικονομικών. Οι ομάδες κοινού ελέγχου συγκροτούνται με απόφαση του Γενικού Γραμματέα του Υπουργείου Εθνικής Οικονομίας και Οικονομικών με αρμοδιότητα τη δημόσια περιουσία, μετά από υπόδειξη των αντίστοιχων μελών από την Α.Α.Δ.Ε., την Οικονομική Αστυνομία και τον Προϊστάμενο της οικείας εισαγγελίας. Οι ομάδες κοινού ελέγχου της παρούσας δεν αποτελούν συλλογικά διοικητικά όργανα κατά την έννοια του άρθρου 13 του Κώδικα Διοικητικής Διαδικασίας (ν. 2690/1999, Α΄ 45).</w:t>
      </w:r>
    </w:p>
    <w:p>
      <w:pPr>
        <w:spacing w:before="240" w:after="240"/>
        <w:rPr>
          <w:lang w:val="el" w:eastAsia="el"/>
        </w:rPr>
      </w:pPr>
      <w:r>
        <w:rPr>
          <w:b/>
          <w:bCs/>
          <w:lang w:val="el" w:eastAsia="el"/>
        </w:rPr>
        <w:t>Σύμφωνα με την παρ. 4 του άρθρου 17 του κοινοποιούμενου νόμου , σε περίπτωση διαπίστωσης από τα όργανα της παρ. 1 παραβάσεων του παρόντος, αντίγραφο του πορίσματος-έκθεσης αυτοψίας επιδίδεται στον ευρισκόμενο στον χώρο της αυτοψίας παραβάτη και, αν αυτός είναι άγνωστος ή δεν ανευρίσκεται, αναρτάται ή επικολλάται στις εγκαταστάσεις ή στα κινητά στοιχεία της καταλαμβανόμενης έκτασης και διαβιβάζεται στην Α.Α.Δ.Ε.. …..</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Μέτρα προστασίας της κοινοχρησίας - Διοικητικά μέτρα</w:t>
      </w:r>
    </w:p>
    <w:p>
      <w:pPr>
        <w:spacing w:before="240" w:after="240"/>
        <w:rPr>
          <w:lang w:val="el" w:eastAsia="el"/>
        </w:rPr>
      </w:pPr>
      <w:r>
        <w:rPr>
          <w:b/>
          <w:bCs/>
          <w:lang w:val="el" w:eastAsia="el"/>
        </w:rPr>
        <w:t>Σύμφωνα με την παρ. 2 του άρθρου 18 του κοινοποιούμενου νόμου, σε περίπτωση οικονομικής δραστηριότητας σε αιγιαλό ή παραλία που έχει καταληφθεί χωρίς να υπάρχει σύμβαση παραχώρησης, η Κτηματική Υπηρεσία ή ο οικείος δήμος, μαζί με την πράξη άμεσης απομάκρυνσης, εκδίδει και διαταγή σφράγισης και διακοπής λειτουργίας της επιχείρησης στον χώρο που έχει καταληφθεί. Με την κοινοποίηση της διαταγής σφράγισης και διακοπής λειτουργίας της επιχείρησης απαγορεύεται οποιαδήποτε οικονομική δραστηριότητα στον χώρο που έχει καταληφθεί και διακόπτεται από την Α.Α.Δ.Ε. η λειτουργία ταμειακής μηχανής που βρίσκεται εντός αυτού. Εντός είκοσι τεσσάρων (24) ωρών από την κοινοποίηση της διαταγής σφράγισης και διακοπής λειτουργίας της επιχείρησης, ο χώρος που έχει καταληφθεί, σφραγίζεται με ταινία και τοποθετείται πινακίδα που αναφέρει τη σφράγιση και τον λόγο αυτής, καθώς και την απαγόρευση εισόδου στον σφραγισμένο χώρο, τουλάχιστον στην ελληνική και την αγγλική γλώσσα.</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b/>
          <w:bCs/>
          <w:lang w:val="el" w:eastAsia="el"/>
        </w:rPr>
        <w:t>Σύμφωνα με την παρ. 1 του άρθρου 19 του κοινοποιούμενου νόμου, στους παραβάτες του παρόντος η Κτηματική Υπηρεσία επιβάλλει τις ακόλουθες διοικητικές κυρώσεις στις εξής περιπτώσεις:</w:t>
      </w:r>
    </w:p>
    <w:p>
      <w:pPr>
        <w:pStyle w:val="StructureList1"/>
        <w:spacing w:before="120" w:after="0"/>
        <w:rPr>
          <w:lang w:val="el" w:eastAsia="el"/>
        </w:rPr>
      </w:pPr>
      <w:r>
        <w:rPr>
          <w:lang w:val="el" w:eastAsia="el"/>
        </w:rPr>
        <w:t>α)</w:t>
      </w:r>
      <w:r>
        <w:rPr>
          <w:lang w:val="en" w:eastAsia="en"/>
        </w:rPr>
        <w:tab/>
      </w:r>
      <w:r>
        <w:rPr>
          <w:b/>
          <w:bCs/>
          <w:lang w:val="el" w:eastAsia="el"/>
        </w:rPr>
        <w:t>Αυθαίρετης κατασκευής έργου ή διαμόρφωσης σε αιγιαλό ή παραλία, πρόστιμο που ανέρχεται στο τετραπλάσιο του ανταλλάγματος, όπως αυτό προκύπτει με βάση τον μαθηματικό τύπο της παρ. 5 του άρθρου 10, το οποίο πολλαπλασιάζεται με τον αριθμό των ετών, και μέχρι πέντε (5) έτη, από τότε που έχει ανεγερθεί η αυθαίρετη κατασκευή ή έχει γίνει η αυθαίρετη διαμόρφωση, και αποκλεισμό του παραβάτη από κάθε διαδικασία παραχώρησης αιγιαλού και παραλίας για δέκα (10) έτη μετά από την επιβολή της κύρωσης. Το πρόστιμο επιβάλλεται πέραν των πολεοδομικών προστίμων που επιβάλλουν οι αρμόδιες αρχές.</w:t>
      </w:r>
    </w:p>
    <w:p>
      <w:pPr>
        <w:pStyle w:val="StructureList1"/>
        <w:spacing w:before="120" w:after="0"/>
        <w:rPr>
          <w:lang w:val="el" w:eastAsia="el"/>
        </w:rPr>
      </w:pPr>
      <w:r>
        <w:rPr>
          <w:lang w:val="el" w:eastAsia="el"/>
        </w:rPr>
        <w:t>β)</w:t>
      </w:r>
      <w:r>
        <w:rPr>
          <w:lang w:val="en" w:eastAsia="en"/>
        </w:rPr>
        <w:tab/>
      </w:r>
      <w:r>
        <w:rPr>
          <w:b/>
          <w:bCs/>
          <w:lang w:val="el" w:eastAsia="el"/>
        </w:rPr>
        <w:t>Αυθαίρετης κατάληψης αιγιαλού ή παραλίας χωρίς σύμβαση παραχώρησης, πρόστιμο που ανέρχεται στο τετραπλάσιο του ανταλλάγματος που θα αντιστοιχούσε στην καταληφθείσα έκταση, όπως αυτό προκύπτει με βάση τον μαθηματικό τύπο της παρ. 5 του άρθρου 10, και αποκλεισμό του παραβάτη από κάθε διαδικασία παραχώρησης αιγιαλού και παραλίας για πέντε (5) έτη μετά από την επιβολή της κύρωσης. Σε περίπτωση δεύτερης παράβασης, αν η κατάληψη έχει γίνει από λειτουργούσα όμορη επιχείρηση, η λειτουργία της αναστέλλεται επί δέκα (10) ημέρες, η ταμειακή της μηχανή σφραγίζεται με απόφαση της Ανεξάρτητης Αρχής Δημοσίων Εσόδων (Α.Α.Δ.Ε.) και ο παραβάτης αποκλείεται από κάθε διαδικασία παραχώρησης αιγιαλού και παραλίας για δέκα (10) έτη μετά από την επιβολή της κύρωσης.</w:t>
      </w:r>
    </w:p>
    <w:p>
      <w:pPr>
        <w:pStyle w:val="StructureList1"/>
        <w:spacing w:before="120" w:after="0"/>
        <w:rPr>
          <w:lang w:val="el" w:eastAsia="el"/>
        </w:rPr>
      </w:pPr>
      <w:r>
        <w:rPr>
          <w:lang w:val="el" w:eastAsia="el"/>
        </w:rPr>
        <w:t>γ)</w:t>
      </w:r>
      <w:r>
        <w:rPr>
          <w:lang w:val="en" w:eastAsia="en"/>
        </w:rPr>
        <w:tab/>
      </w:r>
      <w:r>
        <w:rPr>
          <w:b/>
          <w:bCs/>
          <w:lang w:val="el" w:eastAsia="el"/>
        </w:rPr>
        <w:t>Κατάληψης αιγιαλού ή παραλίας καθ’ υπέρβαση της σύμβασης παραχώρησης, πρόστιμο που ανέρχεται στο τετραπλάσιο του ανταλλάγματος, όπως αυτό προκύπτει με βάση τον μαθηματικό τύπο της παρ. 5 του άρθρου 10, για την έκταση που δεν καλύπτεται από έγκυρη σύμβαση παραχώρησης. Αν η υπέρβαση ανέρχεται σε ποσοστό μεγαλύτερο του τριάντα τοις εκατό (30%) της παραχωρηθείσας έκτασης, σε περίπτωση δεύτερης παράβασης επιβάλλεται αποκλεισμός του παραβάτη από κάθε διαδικασία παραχώρησης αιγιαλού και παραλίας για πέντε (5) έτη μετά από την επιβολή της κύρωσης. Σε περίπτωση τρίτης υπέρβασης ποσοστού μεγαλύτερου του τριάντα τοις εκατό (30%), ο παραβάτης αποκλείεται από κάθε διαδικασία παραχώρησης αιγιαλού και παραλίας για δέκα (10) έτη μετά από την επιβολή της κύρωσης, η λειτουργία της επιχείρησης αναστέλλεται επί δέκα (10) ημέρες και η ταμειακή μηχανή της επιχείρησης σφραγίζεται με απόφαση της Α.Α.Δ.Ε..</w:t>
      </w:r>
    </w:p>
    <w:p>
      <w:pPr>
        <w:pStyle w:val="StructureList1"/>
        <w:spacing w:before="120" w:after="0"/>
        <w:rPr>
          <w:lang w:val="el" w:eastAsia="el"/>
        </w:rPr>
      </w:pPr>
      <w:r>
        <w:rPr>
          <w:lang w:val="el" w:eastAsia="el"/>
        </w:rPr>
        <w:t>δ)</w:t>
      </w:r>
      <w:r>
        <w:rPr>
          <w:lang w:val="en" w:eastAsia="en"/>
        </w:rPr>
        <w:tab/>
      </w:r>
      <w:r>
        <w:rPr>
          <w:b/>
          <w:bCs/>
          <w:lang w:val="el" w:eastAsia="el"/>
        </w:rPr>
        <w:t>Μερικής ή ολικής μεταβίβασης του παραχωρηθέντος τμήματος αιγιαλού και παραλίας σε τρίτο πρόσωπο, όταν αυτή δεν προβλέπεται στον νόμο ή στη σύμβαση παραχώρησης, πρόστιμο που ανέρχεται στο τετραπλάσιο του ανταλλάγματος, όπως αυτό προκύπτει με βάση τον μαθηματικό τύπο της παρ. 5 του άρθρου 10, για το σύνολο της παραχωρηθείσας έκτασης.</w:t>
      </w:r>
    </w:p>
    <w:p>
      <w:pPr>
        <w:pStyle w:val="StructureList1"/>
        <w:spacing w:before="120" w:after="0"/>
        <w:rPr>
          <w:lang w:val="el" w:eastAsia="el"/>
        </w:rPr>
      </w:pPr>
      <w:r>
        <w:rPr>
          <w:lang w:val="el" w:eastAsia="el"/>
        </w:rPr>
        <w:t>ε)</w:t>
      </w:r>
      <w:r>
        <w:rPr>
          <w:lang w:val="en" w:eastAsia="en"/>
        </w:rPr>
        <w:tab/>
      </w:r>
      <w:r>
        <w:rPr>
          <w:b/>
          <w:bCs/>
          <w:lang w:val="el" w:eastAsia="el"/>
        </w:rPr>
        <w:t>Παρεμπόδισης της ελεύθερης πρόσβασης του κοινού στη θάλασσα, τον αιγιαλό και την παραλία, πρόστιμο από δύο χιλιάδες (2.000) ευρώ έως εξήντα χιλιάδες (60.000) ευρώ.</w:t>
      </w:r>
    </w:p>
    <w:p>
      <w:pPr>
        <w:pStyle w:val="StructureList1"/>
        <w:spacing w:before="120" w:after="0"/>
        <w:rPr>
          <w:lang w:val="el" w:eastAsia="el"/>
        </w:rPr>
      </w:pPr>
      <w:r>
        <w:rPr>
          <w:lang w:val="el" w:eastAsia="el"/>
        </w:rPr>
        <w:t>στ)</w:t>
      </w:r>
      <w:r>
        <w:rPr>
          <w:lang w:val="en" w:eastAsia="en"/>
        </w:rPr>
        <w:tab/>
      </w:r>
      <w:r>
        <w:rPr>
          <w:b/>
          <w:bCs/>
          <w:lang w:val="el" w:eastAsia="el"/>
        </w:rPr>
        <w:t>Παρεμπόδισης του ελεγκτικού έργου οποιουδήποτε φορέα, πρόστιμο δέκα χιλιάδων (10.000) ευρώ.</w:t>
      </w:r>
    </w:p>
    <w:p>
      <w:pPr>
        <w:pStyle w:val="StructureList1"/>
        <w:spacing w:before="120" w:after="0"/>
        <w:rPr>
          <w:lang w:val="el" w:eastAsia="el"/>
        </w:rPr>
      </w:pPr>
      <w:r>
        <w:rPr>
          <w:lang w:val="el" w:eastAsia="el"/>
        </w:rPr>
        <w:t>ζ)</w:t>
      </w:r>
      <w:r>
        <w:rPr>
          <w:lang w:val="en" w:eastAsia="en"/>
        </w:rPr>
        <w:tab/>
      </w:r>
      <w:r>
        <w:rPr>
          <w:b/>
          <w:bCs/>
          <w:lang w:val="el" w:eastAsia="el"/>
        </w:rPr>
        <w:t>Παράλειψης ανάρτησης της πινακίδας της περ. ε) της παρ. 3 του άρθρου 8, πρόστιμο χιλίων (1.000) ευρώ.</w:t>
      </w:r>
    </w:p>
    <w:p>
      <w:pPr>
        <w:spacing w:before="240" w:after="240"/>
        <w:rPr>
          <w:lang w:val="el" w:eastAsia="el"/>
        </w:rPr>
      </w:pPr>
      <w:r>
        <w:rPr>
          <w:b/>
          <w:bCs/>
          <w:lang w:val="el" w:eastAsia="el"/>
        </w:rPr>
        <w:t>Σύμφωνα με την παρ. 2 του άρθρου 19 του κοινοποιούμενου νόμου σε περίπτωση νέας παράβασης από αυτές της παρ. 1, το πρόστιμο των περ. α) έως στ) της παρ. 1 διπλασιάζεται.</w:t>
      </w:r>
    </w:p>
    <w:p>
      <w:pPr>
        <w:spacing w:before="240" w:after="240"/>
        <w:rPr>
          <w:lang w:val="el" w:eastAsia="el"/>
        </w:rPr>
      </w:pPr>
      <w:r>
        <w:rPr>
          <w:b/>
          <w:bCs/>
          <w:lang w:val="el" w:eastAsia="el"/>
        </w:rPr>
        <w:t>Σύμφωνα με την παρ. 3 του άρθρου 19 του κοινοποιούμενου νόμου τα πρόστιμα των παρ. 1 και 2 βεβαιώνονται αμέσως στην Α.Α.Δ.Ε. και εισπράττονται σύμφωνα με τον Κώδικα Είσπραξης Δημοσίων Εσόδων (ν. 4978/2022, Α΄ 190).</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Αναλογική εφαρμογή για όχθες, παρόχθιες ζώνες, υδάτινο στοιχείο, πυθμένα και το υπέδαφος του βυθού της θάλασσας, λιμνοθάλασσας, λίμνης και κοίτης πλεύσιμου ποταμού και χώρους ζώνης λιμένα</w:t>
      </w:r>
    </w:p>
    <w:p>
      <w:pPr>
        <w:spacing w:before="240" w:after="240"/>
        <w:rPr>
          <w:lang w:val="el" w:eastAsia="el"/>
        </w:rPr>
      </w:pPr>
      <w:r>
        <w:rPr>
          <w:b/>
          <w:bCs/>
          <w:lang w:val="el" w:eastAsia="el"/>
        </w:rPr>
        <w:t>Σύμφωνα με το άρθρο 21 του κοινοποιούμενου νόμου, οι διατάξεις του παρόντος εφαρμόζονται αναλογικά και για όχθες, παρόχθιες ζώνες, υδάτινο στοιχείο, πυθμένα και το υπέδαφος του βυθού της θάλασσας, λιμνοθάλασσας, λίμνης και κοίτης πλεύσιμου ποταμού. Ειδικά τα άρθρα 19 και 20 εφαρμόζονται και σε χώρους ζώνης λιμένα.</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Παραχώρηση ακινήτου για εργοταξιακό χώρο του έργου Ζεύξη Ρίου - Αντιρρίου</w:t>
      </w:r>
    </w:p>
    <w:p>
      <w:pPr>
        <w:spacing w:before="240" w:after="240"/>
        <w:rPr>
          <w:lang w:val="el" w:eastAsia="el"/>
        </w:rPr>
      </w:pPr>
      <w:r>
        <w:rPr>
          <w:b/>
          <w:bCs/>
          <w:lang w:val="el" w:eastAsia="el"/>
        </w:rPr>
        <w:t>Σύμφωνα με την παρ. 1 του άρθρου 27 του κοινοποιούμενου νόμου, παραχωρείται άνευ ανταλλάγματος στο Υπουργείο Υποδομών και Μεταφορών η χρήση των τμημάτων υπ’ αρ. 8, 9 και 12 του ακινήτου ιδιοκτησίας της Εταιρείας Ακινήτων Δημοσίου με Αριθμό Βιβλίου Καταγραφής 314, έκτασης συνολικού εμβαδού περίπου 213.583,51 τετραγωνικών μέτρων (τ.μ.), κειμένου στον πρώην εργοταξιακό χώρο του έργου ζεύξης Ρίου - Αντιρρίου, στη Δημοτική Ενότητα Αντιρρίου, του Δήμου Ναυπακτίας, της Περιφερειακής Ενότητας Αιτωλοακαρνανίας της Περιφέρειας Δυτικής Ελλάδας, με τα συστατικά και τα παραρτήματα τους, όπως τα τμήματα αυτά εμφαίνονται έκαστο κατά αριθμό, θέση και όρια και, ειδικότερα: α) το τμήμα υπ’ αρ. 8 εμβαδού 2.444 τ.μ. με τα περιμετρικά όρια με αρ. 71 - 72 - 73 - 74 - 75 – 71, β) το τμήμα υπ’ αρ. 9 εμβαδού 1.983,55 τ.μ. με τα περιμετρικά όρια με αρ. 1 - 81 - 82 - 1 και γ) το τμήμα υπ’ αρ. 12 εμβαδού 2.000 τ.μ. με τα περιμετρικά όρια 74 - 74α - 78 -77 - 76 - 75 - 74, στο από 10.10.2006 και υπό στοιχεία Σ1 Σχέδιο Γενικής Διάταξης και υπό κλίμακα 1:1000 κτηματολογικό διάγραμμα του ΥΠΕΧΩΔΕ/ΕΥΔΕ-ΣΕΡΑ - Αναθεώρηση Α, που εκπονήθηκε από τον τοπογράφο μηχανικό Ι. Δραγομάνοβιτς και επισυνάπτεται ως Παράρτημα Α΄. Η διαχείριση των ανωτέρω τμημάτων, τα οποία αποτελούν αναγκαίους χώρους για τη λειτουργία και συντήρηση της Γέφυρας Ρίου - Αντιρρίου, ασκείται από την αρμόδια, για την εποπτεία των Συμβάσεων Παραχώρησης κατά την περίοδο λειτουργίας, οργανική μονάδα του Υπουργείου Υποδομών και Μεταφορών, η οποία δύναται να παραχωρεί περαιτέρω άνευ ανταλλάγματος την αποκλειστική κατοχή και την ανεμπόδιστη χρήση των τμημάτων αυτών στον ανάδοχο της Σύμβασης Παραχώρησης του Έργου της Μελέτης, Κατασκευής, Χρηματοδότησης και Εκμετάλλευσης της Γέφυρας Ρίου - Αντιρρίου, η οποία κυρώθηκε με τον ν. 2395/1996 (Α΄ 71), για την κάλυψη των αναγκών λειτουργίας και συντήρησης της Γέφυρας Ρίου - Αντιρρίου, για χρονικό διάστημα ίσο με την υπολειπόμενη διάρκεια της σύμβασης Παραχώρησης και των τυχόν παρατάσεών της.</w:t>
      </w:r>
    </w:p>
    <w:p>
      <w:pPr>
        <w:spacing w:before="240" w:after="240"/>
        <w:rPr>
          <w:lang w:val="el" w:eastAsia="el"/>
        </w:rPr>
      </w:pPr>
      <w:r>
        <w:rPr>
          <w:b/>
          <w:bCs/>
          <w:lang w:val="el" w:eastAsia="el"/>
        </w:rPr>
        <w:t>Σύμφωνα με την παρ. 2 του άρθρου 27 του κοινοποιούμενου νόμου, για την αποδοχή της παραχώρησης των ακινήτων της παρ. 1 εκδίδονται αποφάσεις του αρμόδιου οργάνου, για την εποπτεία των Συμβάσεων Παραχώρησης κατά την περίοδο λειτουργίας, του Υπουργείου Υποδομών και Μεταφορών, στις οποίες προσδιορίζεται ο ακριβής σκοπός της παραχώρησης και περιγράφονται τα υπό παραχώρηση ακίνητα. Οι αποφάσεις αυτές αποτελούν τίτλο για την καταχώρηση της παραχώρησης χρήσης εκάστου των τμημάτων αυτών στο αρμόδιο υποθηκοφυλακείο ή κτηματολόγιο. Η σχετική μεταγραφή ή εγγραφή, που συνοδεύεται από αντίγραφο του Παραρτήματος Α΄, ολοκληρώνεται εντός τριάντα (30) ημερών από την έκδοση των αποφάσεων του πρώτου εδαφίου και απαλλάσσεται από κάθε φόρο, τέλος, εισφορά ή δικαίωμα.</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Αναστολή πλειστηριασμών πυρόπληκτων - Τροποποίηση άρθρου 84 ν. 4916/2022</w:t>
      </w:r>
    </w:p>
    <w:p>
      <w:pPr>
        <w:spacing w:before="240" w:after="240"/>
        <w:rPr>
          <w:lang w:val="el" w:eastAsia="el"/>
        </w:rPr>
      </w:pPr>
      <w:r>
        <w:rPr>
          <w:b/>
          <w:bCs/>
          <w:lang w:val="el" w:eastAsia="el"/>
        </w:rPr>
        <w:t>Με το άρθρο 39 του κοινοποιούμενου νόμου τροποποιείται το άρθρο 84 του ν. 4916/2022 (A΄ 65) ως προς την ημερομηνία αναστολής αναγκαστικής εκτέλεσης και διαμορφώνεται ως εξής:</w:t>
      </w:r>
    </w:p>
    <w:p>
      <w:pPr>
        <w:spacing w:before="240" w:after="240"/>
        <w:rPr>
          <w:lang w:val="el" w:eastAsia="el"/>
        </w:rPr>
      </w:pPr>
      <w:r>
        <w:rPr>
          <w:b/>
          <w:bCs/>
          <w:lang w:val="el" w:eastAsia="el"/>
        </w:rPr>
        <w:t>«Άρθρο 84 Αναστολή πλειστηριασμών πυρόπληκτων</w:t>
      </w:r>
    </w:p>
    <w:p>
      <w:pPr>
        <w:spacing w:before="240" w:after="240"/>
        <w:rPr>
          <w:lang w:val="el" w:eastAsia="el"/>
        </w:rPr>
      </w:pPr>
      <w:r>
        <w:rPr>
          <w:b/>
          <w:bCs/>
          <w:lang w:val="el" w:eastAsia="el"/>
        </w:rPr>
        <w:t>Αναστέλλεται σε βάρος φυσικών ή νομικών προσώπων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η διενέργεια κάθε πράξης αναγκαστικής εκτέλεσης κινητών και ακινήτων, ιδίως η διενέργεια πλειστηριασμών, κατασχέσεων, αποβολών (εξώσεων) και προσωπικών κρατήσεων, καθώς και οι προθεσμίες άσκησης ανακοπών και αιτήσεων που αφορούν τη διαδικασία της αναγκαστικής εκτέλεσης έως την 31η.12.2024.».</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Επιστροφή ειδικού φόρου κατανάλωσης πετρελαίου εσωτερικής καύσης (DIESEL) κινητήρων που χρησιμοποιείται αποκλειστικά στη γεωργία - Προσθήκη παρ. 4β στο άρθρο 78 του Εθνικού Τελωνειακού Κώδικα</w:t>
      </w:r>
    </w:p>
    <w:p>
      <w:pPr>
        <w:spacing w:before="240" w:after="240"/>
        <w:rPr>
          <w:lang w:val="el" w:eastAsia="el"/>
        </w:rPr>
      </w:pPr>
      <w:r>
        <w:rPr>
          <w:b/>
          <w:bCs/>
          <w:lang w:val="el" w:eastAsia="el"/>
        </w:rPr>
        <w:t>Με το άρθρο 40 του κοινοποιούμενου νόμου προστίθεται παρ. 4β στο άρθρο 78 του Εθνικού Τελωνειακού Κώδικα (ν. 2960/2001, Α΄ 265), περί ειδικών απαλλαγών ενεργειακών προϊόντων, ως εξής:</w:t>
      </w:r>
    </w:p>
    <w:p>
      <w:pPr>
        <w:spacing w:before="240" w:after="240"/>
        <w:rPr>
          <w:lang w:val="el" w:eastAsia="el"/>
        </w:rPr>
      </w:pPr>
      <w:r>
        <w:rPr>
          <w:b/>
          <w:bCs/>
          <w:lang w:val="el" w:eastAsia="el"/>
        </w:rPr>
        <w:t>«4β. Για το πετρέλαιο εσωτερικής καύσης (DIESEL) κινητήρων της περ. στ) της παρ. 1 του άρθρου 73, που χρησιμοποιείται αποκλειστικά στη γεωργία, καθορίζεται, από την 1η Ιανουαρίου 2024 έως και την 31η Δεκεμβρίου 2024,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του πέμπτου εδαφίου της παρούσας,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b/>
          <w:bCs/>
          <w:lang w:val="el" w:eastAsia="el"/>
        </w:rPr>
        <w:t>Ποσοστό επί των δικαιούμενων ποσών επιστροφής δύναται να προκαταβάλλεται σύμφωνα με την κανονιστική πράξη του πέμπτου εδαφίου.</w:t>
      </w:r>
    </w:p>
    <w:p>
      <w:pPr>
        <w:spacing w:before="240" w:after="240"/>
        <w:rPr>
          <w:lang w:val="el" w:eastAsia="el"/>
        </w:rPr>
      </w:pPr>
      <w:r>
        <w:rPr>
          <w:b/>
          <w:bCs/>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b/>
          <w:bCs/>
          <w:lang w:val="el" w:eastAsia="el"/>
        </w:rPr>
        <w:t>Με κοινή απόφαση των Υπουργών Εθνικής Οικονομίας και Οικονομικών και Αγροτικής Ανάπτυξης και Τροφίμων, που εκδίδεται μετά από εισήγηση του Διοικητή της Α.Α.Δ.Ε., καθορίζονται οι όροι, οι προϋποθέσεις και η διαδικασία χορήγησης της προκαταβολής και επιστροφής του ειδικού φόρου κατανάλωσης, το ποσοστό και τα κριτήρια της προκαταβολής, ο χρόνος προκαταβολής και επιστροφής, τα δικαιούχα προκαταβολής και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Απαλλαγή δωρεών προς το Οικουμενικό Πατριαρχείο από Φόρο Προστιθέμενης Αξίας</w:t>
      </w:r>
    </w:p>
    <w:p>
      <w:pPr>
        <w:spacing w:before="240" w:after="240"/>
        <w:rPr>
          <w:lang w:val="el" w:eastAsia="el"/>
        </w:rPr>
      </w:pPr>
      <w:r>
        <w:rPr>
          <w:b/>
          <w:bCs/>
          <w:lang w:val="el" w:eastAsia="el"/>
        </w:rPr>
        <w:t>Σύμφωνα με την παρ. 1 του άρθρου 41 του κοινοποιούμενου νόμου, τo πρώτο εδάφιο της περ ιστ) της παρ. 1 του άρθρου 27 του Κώδικα Φόρου Προστιθέμενης Αξίας (ν. 2859/2000, Α΄ 248) εφαρμόζεται και σε περίπτωση παράδοσης αγαθών και παροχής υπηρεσιών από υποκείμενο στον φόρο προμηθευτή προς δωρητή, ο οποίος τα χρησιμοποιεί στο πλαίσιο σύμβασης δωρεάς που συνάπτει με το Οικουμενικό Πατριαρχείο, για τον σκοπό της πραγματοποίησης της μελέτης και των εργασιών ανέγερσης, κατασκευής, ανακατασκευής, ανακαίνισης, επισκευής και επέκτασης ακινήτων που του ανήκουν κατά κυριότητα και χρησιμοποιούνται για την επιτέλεση του θρησκευτικού ή φιλανθρωπικού έργου του. Στην περίπτωση αυτή, η σύμβαση δωρεάς εγκρίνεται με απόφαση του Υπουργού Εθνικής Οικονομίας και Οικονομικών.</w:t>
      </w:r>
    </w:p>
    <w:p>
      <w:pPr>
        <w:spacing w:before="240" w:after="240"/>
        <w:rPr>
          <w:lang w:val="el" w:eastAsia="el"/>
        </w:rPr>
      </w:pPr>
      <w:r>
        <w:rPr>
          <w:b/>
          <w:bCs/>
          <w:lang w:val="el" w:eastAsia="el"/>
        </w:rPr>
        <w:t>Σύμφωνα με την παρ. 2 του άρθρου 41 του κοινοποιούμενου νόμου, η παρ. 1 εφαρμόζεται για δύο (2) χρόνια από την έναρξη ισχύος του παρόντος και επί ακινήτων που έχουν παραχωρηθεί</w:t>
      </w:r>
    </w:p>
    <w:p>
      <w:pPr>
        <w:spacing w:before="240" w:after="240"/>
        <w:rPr>
          <w:lang w:val="el" w:eastAsia="el"/>
        </w:rPr>
      </w:pPr>
      <w:r>
        <w:rPr>
          <w:b/>
          <w:bCs/>
          <w:lang w:val="el" w:eastAsia="el"/>
        </w:rPr>
        <w:t>στο Οικουμενικό Πατριαρχείο, από ημεδαπούς και αλλοδαπούς φορείς, φυσικά ή νομικά πρόσωπα, για την επιτέλεση του θρησκευτικού ή φιλανθρωπικού έργου του.</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Υποχρεώσεις παρόχων υπηρεσιών τεχνικής υποστήριξης φορολογικών ηλεκτρονικών μηχανισμών και συστημάτων διαχείρισης επιχειρηματικών πόρων, εισαγωγέων, κατασκευαστών και εμπόρων φορολογικών ηλεκτρονικών μηχανισμών - Εξουσιοδοτική διάταξη - Τροποποίηση άρθρου 15Β Κώδικα Φορολογικής Διαδικασίας</w:t>
      </w:r>
    </w:p>
    <w:p>
      <w:pPr>
        <w:spacing w:before="240" w:after="240"/>
        <w:rPr>
          <w:lang w:val="el" w:eastAsia="el"/>
        </w:rPr>
      </w:pPr>
      <w:r>
        <w:rPr>
          <w:b/>
          <w:bCs/>
          <w:lang w:val="el" w:eastAsia="el"/>
        </w:rPr>
        <w:t>Σύμφωνα με το άρθρο 42 του κοινοποιούμενου νόμου, στο άρθρο 15Β του Κώδικα Φορολογικής Διαδικασίας (ν. 4987/2022, Α΄ 206), περί υποχρεωτικής διασύνδεσης των τερματικών Ηλεκτρονικής Μεταφοράς Κεφαλαίων στα σημεία πώλησης, προστίθενται παρ. 3, 4 και 5 και το άρθρο 15Β διαμορφώνεται ως εξής:</w:t>
      </w:r>
    </w:p>
    <w:p>
      <w:pPr>
        <w:spacing w:before="240" w:after="240"/>
        <w:rPr>
          <w:lang w:val="el" w:eastAsia="el"/>
        </w:rPr>
      </w:pPr>
      <w:r>
        <w:rPr>
          <w:b/>
          <w:bCs/>
          <w:lang w:val="el" w:eastAsia="el"/>
        </w:rPr>
        <w:t>«Άρθρο 15Β</w:t>
      </w:r>
    </w:p>
    <w:p>
      <w:pPr>
        <w:spacing w:before="240" w:after="240"/>
        <w:rPr>
          <w:lang w:val="el" w:eastAsia="el"/>
        </w:rPr>
      </w:pPr>
      <w:r>
        <w:rPr>
          <w:b/>
          <w:bCs/>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w:t>
      </w:r>
    </w:p>
    <w:p>
      <w:pPr>
        <w:spacing w:before="240" w:after="240"/>
        <w:rPr>
          <w:lang w:val="el" w:eastAsia="el"/>
        </w:rPr>
      </w:pPr>
      <w:r>
        <w:rPr>
          <w:lang w:val="el" w:eastAsia="el"/>
        </w:rPr>
        <w:t xml:space="preserve">1. </w:t>
      </w:r>
      <w:r>
        <w:rPr>
          <w:b/>
          <w:bCs/>
          <w:lang w:val="el" w:eastAsia="el"/>
        </w:rPr>
        <w:t>Οντότητες του άρθρου 1 του ν. 4308/2014 (Α’ 251) που χρησιμοποιούν τερματικά «Ηλεκτρονικής Μεταφοράς Κεφαλαίων στο Σημείο Πώλησης (Electronic Funds Transfer at the point of sale, EFT/POS)», ημεδαπών ή αλλοδαπών παρόχων, υποχρεούνται να διασυνδέονται και να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Φορολογικής Διοίκησης. Για την εκπλήρωση της υποχρέωσης του πρώτου εδαφίου, οι οντότητες υποχρεούνται να χρησιμοποιούν τερματικά Ηλεκτρονικής Μεταφοράς Κεφαλαίων στο Σημείο Πώλησης («Electronic Funds Transfer at the point of sale, EFT/ POS») που πληρούν τις προϋποθέσεις του άρθρου 15Γ.</w:t>
      </w:r>
    </w:p>
    <w:p>
      <w:pPr>
        <w:spacing w:before="240" w:after="240"/>
        <w:rPr>
          <w:lang w:val="el" w:eastAsia="el"/>
        </w:rPr>
      </w:pPr>
      <w:r>
        <w:rPr>
          <w:lang w:val="el" w:eastAsia="el"/>
        </w:rPr>
        <w:t xml:space="preserve">2. </w:t>
      </w:r>
      <w:r>
        <w:rPr>
          <w:b/>
          <w:bCs/>
          <w:lang w:val="el" w:eastAsia="el"/>
        </w:rPr>
        <w:t>Με απόφαση του Διοικητή της Α.Α.Δ.Ε. καθορίζονται 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καθώς και κάθε άλλο ειδικότερο θέμα για την εφαρμογή του παρόντος.</w:t>
      </w:r>
    </w:p>
    <w:p>
      <w:pPr>
        <w:spacing w:before="240" w:after="240"/>
        <w:rPr>
          <w:lang w:val="el" w:eastAsia="el"/>
        </w:rPr>
      </w:pPr>
      <w:r>
        <w:rPr>
          <w:lang w:val="el" w:eastAsia="el"/>
        </w:rPr>
        <w:t xml:space="preserve">3. </w:t>
      </w:r>
      <w:r>
        <w:rPr>
          <w:b/>
          <w:bCs/>
          <w:lang w:val="el" w:eastAsia="el"/>
        </w:rPr>
        <w:t>Οι οντότητες του άρθρου 1 του ν. 4308/2014 που δραστηριοποιούνται στην παροχή υπηρεσιών τεχνικής υποστήριξης Φ.Η.Μ. ή εμπορικών/λογιστικών προγραμμάτων διαχείρισης (Enterprise Resource Planning, «ERP») υποχρεούνται να ολοκληρώνουν τις διαδικασίες αναβάθμισης και διασύνδεσης των Φ.Η.Μ. ή του λογισμικού ηλεκτρονικής τιμολόγησης με τα τερματικά EFT/POS των χρηστών, εντός των προθεσμιών που εκάστοτε ορίζονται με τις σχετικές αποφάσεις του Διοικητή.</w:t>
      </w:r>
    </w:p>
    <w:p>
      <w:pPr>
        <w:spacing w:before="240" w:after="240"/>
        <w:rPr>
          <w:lang w:val="el" w:eastAsia="el"/>
        </w:rPr>
      </w:pPr>
      <w:r>
        <w:rPr>
          <w:b/>
          <w:bCs/>
          <w:lang w:val="el" w:eastAsia="el"/>
        </w:rPr>
        <w:t>Ως «εμπορικό/λογιστικό πρόγραμμα διαχείρισης» για τις ανάγκες εφαρμογής του παρόντος Κώδικα, νοείται κάθε λογισμικό που επιτρέπει σε οντότητες του άρθρου 1 του ν. 4308/2014 να διαχειρίζονται και να ενσωματώνουν σε ένα σύστημα τις επιχειρηματικές λειτουργίες τους και, σε κάθε περίπτωση, την παρακολούθηση των δεδομένων πωλήσεων.</w:t>
      </w:r>
    </w:p>
    <w:p>
      <w:pPr>
        <w:spacing w:before="240" w:after="240"/>
        <w:rPr>
          <w:lang w:val="el" w:eastAsia="el"/>
        </w:rPr>
      </w:pPr>
      <w:r>
        <w:rPr>
          <w:lang w:val="el" w:eastAsia="el"/>
        </w:rPr>
        <w:t xml:space="preserve">4. </w:t>
      </w:r>
      <w:r>
        <w:rPr>
          <w:b/>
          <w:bCs/>
          <w:lang w:val="el" w:eastAsia="el"/>
        </w:rPr>
        <w:t>Οντότητες του άρθρου 1 του ν. 4308/2014 με έδρα ή μόνιμη εγκατάσταση στην Ελλάδα και αντικείμενο δραστηριότητας την εισαγωγή, κατασκευή και εμπορία Φ.Η.Μ. που έχουν λάβει άδεια καταλληλότητας, μεριμνούν ώστε οι τύποι Φ.Η.Μ. που έχουν ή πρόκειται να λάβουν άδεια καταλληλότητας να είναι συμβατοί με τους τύπους τερματικών EFT/POS που συμπεριλαμβάνονται στις δηλώσεις συμμόρφωσης της παρ. 2 του άρθρου 15Γ. Μετά την 9</w:t>
      </w:r>
    </w:p>
    <w:p>
      <w:pPr>
        <w:spacing w:before="240" w:after="240"/>
        <w:rPr>
          <w:lang w:val="el" w:eastAsia="el"/>
        </w:rPr>
      </w:pPr>
      <w:r>
        <w:rPr>
          <w:b/>
          <w:bCs/>
          <w:lang w:val="el" w:eastAsia="el"/>
        </w:rPr>
        <w:t>εγκατάσταση ή αναβάθμιση λογισμικού προς τον σκοπό αυτό και τις σχετικές δοκιμές, οι οντότητες του πρώτου εδαφίου συντάσσουν δήλωση συμβατότητας για τους αντίστοιχους τύπους Φ.Η.Μ. Την ίδια υποχρέωση έχουν και οι οντότητες που δραστηριοποιούνται στην ελληνική επικράτεια στον τομέα της κατασκευής Εμπορικών/Λογιστικών Προγραμμάτων Διαχείρισης (Enterprise Resource Planning, «ERP»), και της τεχνικής υποστήριξης αυτών, ως προς τα αντίστοιχα προγράμματα. δήλωση συμβατότητας της παρούσας δημοσιοποιείται στον ιστότοπο της Α.Α.Δ.Ε. και αποτελεί προϋπόθεση για τη λήψη ή τη διατήρηση σε ισχύ της άδειας καταλληλότητας εκάστοτε τύπου Φ.Η.Μ. και για τη νόμιμη χρήση των «ERP» για διεπαφή με την Α.Α.Δ.Ε..</w:t>
      </w:r>
    </w:p>
    <w:p>
      <w:pPr>
        <w:spacing w:before="240" w:after="240"/>
        <w:rPr>
          <w:lang w:val="el" w:eastAsia="el"/>
        </w:rPr>
      </w:pPr>
      <w:r>
        <w:rPr>
          <w:lang w:val="el" w:eastAsia="el"/>
        </w:rPr>
        <w:t xml:space="preserve">5. </w:t>
      </w:r>
      <w:r>
        <w:rPr>
          <w:b/>
          <w:bCs/>
          <w:lang w:val="el" w:eastAsia="el"/>
        </w:rPr>
        <w:t>Με απόφαση του Διοικητή καθορίζονται ο τύπος, το περιεχόμενο, η διαδικασία και ο χρόνος υποβολής των δηλώσεων συμβατότητας της παρ. 4,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Κυρώσεις για παραβάσεις υποχρέωσης υποβολής δήλωσης ή αποστολής πληροφοριών για υπηρεσίες τεχνικής υποστήριξης φορολογικών ηλεκτρονικών μηχανισμών ή εμπορικού/λογιστικού προγράμματος διαχείρισης - Προσθήκη παρ. 1Β στο άρθρο 54 Κώδικα Φορολογικής Διαδικασίας</w:t>
      </w:r>
    </w:p>
    <w:p>
      <w:pPr>
        <w:spacing w:before="240" w:after="240"/>
        <w:rPr>
          <w:lang w:val="el" w:eastAsia="el"/>
        </w:rPr>
      </w:pPr>
      <w:r>
        <w:rPr>
          <w:b/>
          <w:bCs/>
          <w:lang w:val="el" w:eastAsia="el"/>
        </w:rPr>
        <w:t>Σύμφωνα με το άρθρο 43 του κοινοποιούμενου νόμου, στο άρθρο 54 του Κώδικα Φορολογικής Διαδικασίας (ν. 4987/2022, Α΄ 206), περί διαδικαστικών παραβάσεων, προστίθεται παρ. 1Β ως εξής:</w:t>
      </w:r>
    </w:p>
    <w:p>
      <w:pPr>
        <w:spacing w:before="240" w:after="240"/>
        <w:rPr>
          <w:lang w:val="el" w:eastAsia="el"/>
        </w:rPr>
      </w:pPr>
      <w:r>
        <w:rPr>
          <w:b/>
          <w:bCs/>
          <w:lang w:val="el" w:eastAsia="el"/>
        </w:rPr>
        <w:t>«1B. Για παραβάσεις που αφορούν υποχρεώσεις υποβολής δήλωσης ή αποστολής πληροφοριών σχετικών με υπηρεσίες τεχνικής υποστήριξης Φορολογικών Ηλεκτρονικών Μηχανισμών (Φ.Η.Μ.) ή εμπορικού/λογιστικού προγράμματος διαχείρισης, που ζητούνται βάσει απόφασης του Διοικητή η οποία εκδίδεται σύμφωνα με την παρ. 5 του άρθρου 14, επιβάλλεται πρόστιμο ύψους χιλίων (1.000) ευρώ ανά μη δηλωθείσα, εκπροθέσμως δηλωθείσα ή ανακριβώς δηλωθείσα οντότητα του άρθρου 1 του ν. 4308/2014 (Α’ 251), στην οποία παρέχονται ή η οποία αποδέχεται υπηρεσίες τεχνικής υποστήριξης Φ.Η.Μ. ή υπηρεσίες εμπορικού/λογιστικού προγράμματος διαχείρισης (Enterprise Resource Planning, «ERP») και εφόσον:</w:t>
      </w:r>
    </w:p>
    <w:p>
      <w:pPr>
        <w:spacing w:before="240" w:after="240"/>
        <w:rPr>
          <w:lang w:val="el" w:eastAsia="el"/>
        </w:rPr>
      </w:pPr>
      <w:r>
        <w:rPr>
          <w:b/>
          <w:bCs/>
          <w:lang w:val="el" w:eastAsia="el"/>
        </w:rPr>
        <w:t>α) αυτές υπερβαίνουν το δεκαπέντε τοις εκατό (15%) του συνολικού αριθμού των εμπροθέσμων</w:t>
      </w:r>
    </w:p>
    <w:p>
      <w:pPr>
        <w:spacing w:before="240" w:after="240"/>
        <w:rPr>
          <w:lang w:val="el" w:eastAsia="el"/>
        </w:rPr>
      </w:pPr>
      <w:r>
        <w:rPr>
          <w:b/>
          <w:bCs/>
          <w:lang w:val="el" w:eastAsia="el"/>
        </w:rPr>
        <w:t>δηλωθεισών σχετικών οντοτήτων ή</w:t>
      </w:r>
    </w:p>
    <w:p>
      <w:pPr>
        <w:spacing w:before="240" w:after="240"/>
        <w:rPr>
          <w:lang w:val="el" w:eastAsia="el"/>
        </w:rPr>
      </w:pPr>
      <w:r>
        <w:rPr>
          <w:b/>
          <w:bCs/>
          <w:lang w:val="el" w:eastAsia="el"/>
        </w:rPr>
        <w:t>β) υπερβαίνουν αθροιστικά τις δέκα (10), ανά οντότητα που παρέχει τις σχετικές υπηρεσίες.».</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Κυρώσεις για παραβίαση της υποχρέωσης του άρθρου 15Β του Κώδικα Φορολογικής Διαδικασίας - Αντικατάσταση άρθρου 54Θ Κώδικα Φορολογικής Διαδικασίας - Εξουσιοδοτική διάταξη</w:t>
      </w:r>
    </w:p>
    <w:p>
      <w:pPr>
        <w:spacing w:before="240" w:after="240"/>
        <w:rPr>
          <w:lang w:val="el" w:eastAsia="el"/>
        </w:rPr>
      </w:pPr>
      <w:r>
        <w:rPr>
          <w:b/>
          <w:bCs/>
          <w:lang w:val="el" w:eastAsia="el"/>
        </w:rPr>
        <w:t>Σύμφωνα με το άρθρο 44 του κοινοποιούμενου νόμου, το άρθρο 54Θ του Κώδικα Φορολογικής Διαδικασίας (ν. 4987/2022, Α΄ 206) αντικαθίσταται ως εξής:</w:t>
      </w:r>
    </w:p>
    <w:p>
      <w:pPr>
        <w:spacing w:before="240" w:after="240"/>
        <w:rPr>
          <w:lang w:val="el" w:eastAsia="el"/>
        </w:rPr>
      </w:pPr>
      <w:r>
        <w:rPr>
          <w:b/>
          <w:bCs/>
          <w:lang w:val="el" w:eastAsia="el"/>
        </w:rPr>
        <w:t>«Άρθρο 54Θ</w:t>
      </w:r>
    </w:p>
    <w:p>
      <w:pPr>
        <w:spacing w:before="240" w:after="240"/>
        <w:rPr>
          <w:lang w:val="el" w:eastAsia="el"/>
        </w:rPr>
      </w:pPr>
      <w:r>
        <w:rPr>
          <w:b/>
          <w:bCs/>
          <w:lang w:val="el" w:eastAsia="el"/>
        </w:rPr>
        <w:t>Κυρώσεις για παραβίαση της υποχρέωσης του άρθρου 15Β</w:t>
      </w:r>
    </w:p>
    <w:p>
      <w:pPr>
        <w:spacing w:before="240" w:after="240"/>
        <w:rPr>
          <w:lang w:val="el" w:eastAsia="el"/>
        </w:rPr>
      </w:pPr>
      <w:r>
        <w:rPr>
          <w:lang w:val="el" w:eastAsia="el"/>
        </w:rPr>
        <w:t xml:space="preserve">1. </w:t>
      </w:r>
      <w:r>
        <w:rPr>
          <w:b/>
          <w:bCs/>
          <w:lang w:val="el" w:eastAsia="el"/>
        </w:rPr>
        <w:t>Σε χρήστες των τερματικών «Ηλεκτρονικής Μεταφοράς Κεφαλαίων στο Σημείο Πώλησης (Electronic Funds Transfer at the point of sale, EFT/POS)» που δεν συμμορφώνονται με τις απαιτήσεις λειτουργίας και διασύνδεσης με την Ανεξάρτητη Αρχή Δημοσίων Εσόδων, επιβάλλεται πρόστιμο ύψους δέκα χιλιάδων (10.000) ευρώ, εφόσον πρόκειται για υπόχρεο τήρησης απλογραφικού λογιστικού συστήματος ή είκοσι χιλιάδων (20.000) ευρώ, εφόσον πρόκειται για υπόχρεο τήρησης διπλογραφικού λογιστικού συστήματος. Το πρόστιμο του πρώτου εδαφίου μειώνεται κατά πενήντα τοις εκατό (50%), όταν επιβάλλεται σε χρήστες τερματικών «EFT/POS» που ασκούν τη δραστηριότητά τους σε οικισμούς με πληθυσμό έως πεντακόσιους (500) κατοίκους και σε νησιά με πληθυσμό κάτω των τριών χιλιάδων εκατό (3.100) κατοίκων, σύμφωνα με την τελευταία απογραφή, πλην των τόπων που έχουν ανακηρυχθεί ως τουριστικοί με το π.δ. 899/1976 (Α΄ 329) και το π.δ. 664/1977 (Α΄ 222).</w:t>
      </w:r>
    </w:p>
    <w:p>
      <w:pPr>
        <w:spacing w:before="240" w:after="240"/>
        <w:rPr>
          <w:lang w:val="el" w:eastAsia="el"/>
        </w:rPr>
      </w:pPr>
      <w:r>
        <w:rPr>
          <w:lang w:val="el" w:eastAsia="el"/>
        </w:rPr>
        <w:t xml:space="preserve">2. </w:t>
      </w:r>
      <w:r>
        <w:rPr>
          <w:b/>
          <w:bCs/>
          <w:lang w:val="el" w:eastAsia="el"/>
        </w:rPr>
        <w:t>Αν η ίδια παράβαση διαπραχθεί εντός πενταετίας από την κοινοποίηση της αρχικής πράξης επιβολής προστίμου, τα πρόστιμα της παρ. 1 διπλασιάζονται και για κάθε επόμενη ίδια παράβαση εντός πενταετίας από την κοινοποίηση της αρχικής πράξης επιβολής προστίμου τριπλασιάζονται. Για την εφαρμογή της παρούσας, ως «αρχική πράξη επιβολής προστίμου» νοείται η παλαιότερη πράξη για την ίδια παράβαση που κοινοποιήθηκε εντός της ίδιας πενταετίας.</w:t>
      </w:r>
    </w:p>
    <w:p>
      <w:pPr>
        <w:spacing w:before="240" w:after="240"/>
        <w:rPr>
          <w:lang w:val="el" w:eastAsia="el"/>
        </w:rPr>
      </w:pPr>
      <w:r>
        <w:rPr>
          <w:lang w:val="el" w:eastAsia="el"/>
        </w:rPr>
        <w:t xml:space="preserve">3. </w:t>
      </w:r>
      <w:r>
        <w:rPr>
          <w:b/>
          <w:bCs/>
          <w:lang w:val="el" w:eastAsia="el"/>
        </w:rPr>
        <w:t>α) Ανακαλούνται οι άδειες καταλληλότητας για τους τύπους Φ.Η.Μ., για τους οποίους οι οντότητες του πρώτου εδαφίου της παρ. 4 του άρθρου 15Β έχουν υποβάλει δήλωση συμβατότητας και δεν έχουν ολοκληρώσει, εντός των προθεσμιών που ορίζονται στην απόφαση της παρ. 5 του άρθρου 15Β, τις απαραίτητες ενέργειες και τους τεχνικούς ελέγχους, ώστε να διασφαλίσουν τη δυνατότητα διασύνδεσής τους με τύπους τερματικών EFT/POS που συμπεριλαμβάνονται στις δηλώσεις συμμόρφωσης της παρ. 2 του άρθρου 15Γ.</w:t>
      </w:r>
    </w:p>
    <w:p>
      <w:pPr>
        <w:spacing w:before="240" w:after="240"/>
        <w:rPr>
          <w:lang w:val="el" w:eastAsia="el"/>
        </w:rPr>
      </w:pPr>
      <w:r>
        <w:rPr>
          <w:b/>
          <w:bCs/>
          <w:lang w:val="el" w:eastAsia="el"/>
        </w:rPr>
        <w:t>β) Σε οντότητες του τρίτου εδαφίου της παρ. 4 του άρθρου 15Β που έχουν υποβάλει δήλωση συμβατότητας του άρθρου 15Β και δεν έχουν ολοκληρώσει, εντός των προθεσμιών της παρ. 5 του άρθρου 15Β, τις απαραίτητες ενέργειες και τους τεχνικούς ελέγχους, ώστε να διασφαλίσουν τη διασύνδεση των Εμπορικών/Λογιστικών Προγραμμάτων Διαχείρισης (Enterprise Resource Planning, «ERP») που διαθέτουν στην ελληνική επικράτεια, με Φορολογικούς Ηλεκτρονικούς Μηχανισμούς (Φ.Η.Μ.) ή λογισμικά Παρόχων Ηλεκτρονικής Τιμολόγησης και τύπους τερματικών «EFT/POS» που συμπεριλαμβάνονται στις δηλώσεις συμμόρφωσης της παρ. 2 του άρθρου 15Γ, επιβάλλεται πρόστιμο ύψους δέκα χιλιάδων (10.000) ευρώ. Παραστατικά πωλήσεων, τα οποία εκδίδονται μέσω Φ.Η.Μ. ή Παρόχου Ηλεκτρονικής Τιμολόγησης που διασυνδέονται με Εμπορικά/Λογιστικά Προγράμματα Διαχείρισης (Enterprise Resource Planning, «ERP») που δεν πληρούν τις ως άνω απαιτήσεις διασύνδεσης, θεωρούνται ότι εκδόθηκαν από μη εγκεκριμένο Φ.Η.Μ. ή μη αδειοδοτημένο Πάροχο Ηλεκτρονικής Τιμολόγησης.</w:t>
      </w:r>
    </w:p>
    <w:p>
      <w:pPr>
        <w:spacing w:before="240" w:after="240"/>
        <w:rPr>
          <w:lang w:val="el" w:eastAsia="el"/>
        </w:rPr>
      </w:pPr>
      <w:r>
        <w:rPr>
          <w:lang w:val="el" w:eastAsia="el"/>
        </w:rPr>
        <w:t xml:space="preserve">4. </w:t>
      </w:r>
      <w:r>
        <w:rPr>
          <w:b/>
          <w:bCs/>
          <w:lang w:val="el" w:eastAsia="el"/>
        </w:rPr>
        <w:t>Στις οντότητες της παρ. 3 του άρθρου 15Β που δεν προβαίνουν στις διαδικασίες αναβάθμισης και διασύνδεσης των Φ.Η.Μ. ή του λογισμικού ηλεκτρονικής τιμολόγησης με τα τερματικά «EFT/POS» των χρηστών, εντός των προθεσμιών που εκάστοτε ορίζονται με τις αποφάσεις της παρ. 5 του άρθρου 15Β, επιβάλλονται οι παρακάτω κυρώσεις, με απόφαση του Διοικητή:</w:t>
      </w:r>
    </w:p>
    <w:p>
      <w:pPr>
        <w:spacing w:before="240" w:after="240"/>
        <w:rPr>
          <w:lang w:val="el" w:eastAsia="el"/>
        </w:rPr>
      </w:pPr>
      <w:r>
        <w:rPr>
          <w:b/>
          <w:bCs/>
          <w:lang w:val="el" w:eastAsia="el"/>
        </w:rPr>
        <w:t>α) για οντότητες που παρέχουν υπηρεσίες τεχνικής υποστήριξης Φ.Η.Μ. ανακαλούνται η «άδεια τεχνικής υποστήριξης» ή η «άδεια καταλληλότητας» κατά το μέρος της τεχνικής υποστήριξης, η ιδιότητα του εξουσιοδοτημένου τεχνικού, τόσο της οντότητας, όσο και του δικτύου εξουσιοδοτημένων τεχνικών, καθώς και η δυνατότητα νόμιμης σφράγισης και υπογραφής του Βιβλιαρίου Συντήρησης Φ.Η.Μ. ή υποβολής δήλωσης διάγνωσης οριστικής βλάβης για τους Φ.Η.Μ. στο Πληροφοριακό Σύστημα Φ.Η.Μ.,</w:t>
      </w:r>
    </w:p>
    <w:p>
      <w:pPr>
        <w:spacing w:before="240" w:after="240"/>
        <w:rPr>
          <w:lang w:val="el" w:eastAsia="el"/>
        </w:rPr>
      </w:pPr>
      <w:r>
        <w:rPr>
          <w:b/>
          <w:bCs/>
          <w:lang w:val="el" w:eastAsia="el"/>
        </w:rPr>
        <w:t>β) για οντότητες που παρέχουν υπηρεσίες εγκατάστασης και τεχνικής υποστήριξης Εμπορικού/Λογιστικού Προγραμμάτων Διαχείρισης (Enterprise Resource Planning, «ERP»), το εν λόγω λογισμικό θεωρείται μη νόμιμο, και οι οντότητες που το χρησιμοποιούν υποχρεούνται να το αντικαταστήσουν με νόμιμο λογισμικό «ERP» εντός των προθεσμιών που ορίζονται στην απόφαση της παρ. 5 του άρθρου 15Β.</w:t>
      </w:r>
    </w:p>
    <w:p>
      <w:pPr>
        <w:spacing w:before="240" w:after="240"/>
        <w:rPr>
          <w:lang w:val="el" w:eastAsia="el"/>
        </w:rPr>
      </w:pPr>
      <w:r>
        <w:rPr>
          <w:lang w:val="el" w:eastAsia="el"/>
        </w:rPr>
        <w:t xml:space="preserve">5. </w:t>
      </w:r>
      <w:r>
        <w:rPr>
          <w:b/>
          <w:bCs/>
          <w:lang w:val="el" w:eastAsia="el"/>
        </w:rPr>
        <w:t>Με απόφαση του Διοικητή εξειδικεύονται οι προϋποθέσεις επιβολής των κυρώσεων της παρ.3, τα δημοσιοποιούμενα στοιχεία των οντοτήτων της παρ. 3 του άρθρου 15Β που παραβαίνουν τις σχετικές υποχρεώσεις τους και κάθε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Κυρώσεις για παραβίαση των υποχρεώσεων του άρθρου 15Γ του Κώδικα Φορολογικής Διαδικασίας - Εξουσιοδοτική διάταξη - Τροποποίηση άρθρου 54ΙΒ Κώδικα Φορολογικής Διαδικασίας</w:t>
      </w:r>
    </w:p>
    <w:p>
      <w:pPr>
        <w:spacing w:before="240" w:after="240"/>
        <w:rPr>
          <w:lang w:val="el" w:eastAsia="el"/>
        </w:rPr>
      </w:pPr>
      <w:r>
        <w:rPr>
          <w:b/>
          <w:bCs/>
          <w:lang w:val="el" w:eastAsia="el"/>
        </w:rPr>
        <w:t>Σύμφωνα με το άρθρο 45 του κοινοποιούμενου νόμου, το άρθρο 54ΙΒ του Κώδικα Φορολογικής Διαδικασίας (ν. 4987/2022, ΦΕΚ Α΄ 206) αντικαθίσταται ως εξής:</w:t>
      </w:r>
    </w:p>
    <w:p>
      <w:pPr>
        <w:spacing w:before="240" w:after="240"/>
        <w:rPr>
          <w:lang w:val="el" w:eastAsia="el"/>
        </w:rPr>
      </w:pPr>
      <w:r>
        <w:rPr>
          <w:b/>
          <w:bCs/>
          <w:lang w:val="el" w:eastAsia="el"/>
        </w:rPr>
        <w:t>«Άρθρο 54ΙΒ</w:t>
      </w:r>
    </w:p>
    <w:p>
      <w:pPr>
        <w:spacing w:before="240" w:after="240"/>
        <w:rPr>
          <w:lang w:val="el" w:eastAsia="el"/>
        </w:rPr>
      </w:pPr>
      <w:r>
        <w:rPr>
          <w:b/>
          <w:bCs/>
          <w:lang w:val="el" w:eastAsia="el"/>
        </w:rPr>
        <w:t>Κυρώσεις για παραβίαση των υποχρεώσεων του άρθρου 15Γ</w:t>
      </w:r>
    </w:p>
    <w:p>
      <w:pPr>
        <w:spacing w:before="240" w:after="240"/>
        <w:rPr>
          <w:lang w:val="el" w:eastAsia="el"/>
        </w:rPr>
      </w:pPr>
      <w:r>
        <w:rPr>
          <w:lang w:val="el" w:eastAsia="el"/>
        </w:rPr>
        <w:t xml:space="preserve">1. </w:t>
      </w:r>
      <w:r>
        <w:rPr>
          <w:b/>
          <w:bCs/>
          <w:lang w:val="el" w:eastAsia="el"/>
        </w:rPr>
        <w:t>Σε οντότητες της παρ. 1 του άρθρου 15Γ, που παρά την υποβολή της δήλωσης συμμόρφωσης του άρθρου 15Γ:</w:t>
      </w:r>
    </w:p>
    <w:p>
      <w:pPr>
        <w:spacing w:before="240" w:after="240"/>
        <w:rPr>
          <w:lang w:val="el" w:eastAsia="el"/>
        </w:rPr>
      </w:pPr>
      <w:r>
        <w:rPr>
          <w:b/>
          <w:bCs/>
          <w:lang w:val="el" w:eastAsia="el"/>
        </w:rPr>
        <w:t>α) δεν συμμορφώνονται με τις απαιτήσεις λειτουργίας και διασύνδεσης της Ανεξάρτητης Αρχής Δημοσίων Εσόδων των τερματικών Ηλεκτρονικής Μεταφοράς Κεφαλαίων στο Σημείο Πώλησης</w:t>
      </w:r>
    </w:p>
    <w:p>
      <w:pPr>
        <w:spacing w:before="240" w:after="240"/>
        <w:rPr>
          <w:lang w:val="el" w:eastAsia="el"/>
        </w:rPr>
      </w:pPr>
      <w:r>
        <w:rPr>
          <w:b/>
          <w:bCs/>
          <w:lang w:val="el" w:eastAsia="el"/>
        </w:rPr>
        <w:t>(«Electronic Funds Transfer at the point of sale, EFT/POS»), επιβάλλεται, με απόφαση του Διοικητή, πρόστιμο ύψους διακοσίων χιλιάδων (200.000) ευρώ. Αν η ίδια παράβαση διαπραχθεί εντός πενταετίας από την κοινοποίηση της αρχικής πράξης επιβολής προστίμου, επιβάλλεται πρόστιμο ύψους τριακοσίων (300.000) χιλιάδων ευρώ. Για την εφαρμογή της παρούσας, ως αρχική πράξη νοείται η παλαιότερη πράξη για την ίδια παράβαση που κοινοποιήθηκε εντός της ίδιας πενταετίας,</w:t>
      </w:r>
    </w:p>
    <w:p>
      <w:pPr>
        <w:spacing w:before="240" w:after="240"/>
        <w:rPr>
          <w:lang w:val="el" w:eastAsia="el"/>
        </w:rPr>
      </w:pPr>
      <w:r>
        <w:rPr>
          <w:b/>
          <w:bCs/>
          <w:lang w:val="el" w:eastAsia="el"/>
        </w:rPr>
        <w:t>β) δεν προβαίνουν σε οποιαδήποτε ενέργεια αναβάθμισης των τερματικών «EFT/POS» για τα οποία εμφανίζονται ως διαχειριστές στο Μητρώο Μέσων Πληρωμών εντός της προθεσμίας που ορίζεται με την απόφαση του Διοικητή της παρ. 2 του άρθρου 15Β:</w:t>
      </w:r>
    </w:p>
    <w:p>
      <w:pPr>
        <w:spacing w:before="240" w:after="240"/>
        <w:rPr>
          <w:lang w:val="el" w:eastAsia="el"/>
        </w:rPr>
      </w:pPr>
      <w:r>
        <w:rPr>
          <w:b/>
          <w:bCs/>
          <w:lang w:val="el" w:eastAsia="el"/>
        </w:rPr>
        <w:t>βα) παύει να ισχύει, με απόφαση του Διοικητή, η δήλωση συμμόρφωσης της παρ. 2 του άρθρου 15Γ και επέρχονται οι συνέπειες της παρ. 3 του ίδιου άρθρου, και</w:t>
      </w:r>
    </w:p>
    <w:p>
      <w:pPr>
        <w:spacing w:before="240" w:after="240"/>
        <w:rPr>
          <w:lang w:val="el" w:eastAsia="el"/>
        </w:rPr>
      </w:pPr>
      <w:r>
        <w:rPr>
          <w:b/>
          <w:bCs/>
          <w:lang w:val="el" w:eastAsia="el"/>
        </w:rPr>
        <w:t>ββ) επιβάλλεται, με απόφαση του Διοικητή πρόστιμο, ύψους εκατό χιλιάδων (100.000),</w:t>
      </w:r>
    </w:p>
    <w:p>
      <w:pPr>
        <w:spacing w:before="240" w:after="240"/>
        <w:rPr>
          <w:lang w:val="el" w:eastAsia="el"/>
        </w:rPr>
      </w:pPr>
      <w:r>
        <w:rPr>
          <w:b/>
          <w:bCs/>
          <w:lang w:val="el" w:eastAsia="el"/>
        </w:rPr>
        <w:t>γ) αν έχει γίνει αναβάθμιση μόνο κάποιων τερματικών «EFT/POS» για τα οποία εμφανίζονται ως διαχειριστές στο Μητρώο Μέσων Πληρωμών, επιβάλλεται πρόστιμο ύψους πεντακοσίων (500) ευρώ ανά τερματικό «EFT/POS» για το οποίο δεν έχουν προβεί σε αναβάθμισή του. Το πρόστιμο δεν επιβάλλεται εφόσον η μη αναβάθμιση αποδεδειγμένα οφείλεται σε μη υπαιτιότητά τους.</w:t>
      </w:r>
    </w:p>
    <w:p>
      <w:pPr>
        <w:spacing w:before="240" w:after="240"/>
        <w:rPr>
          <w:lang w:val="el" w:eastAsia="el"/>
        </w:rPr>
      </w:pPr>
      <w:r>
        <w:rPr>
          <w:lang w:val="el" w:eastAsia="el"/>
        </w:rPr>
        <w:t xml:space="preserve">2. </w:t>
      </w:r>
      <w:r>
        <w:rPr>
          <w:b/>
          <w:bCs/>
          <w:lang w:val="el" w:eastAsia="el"/>
        </w:rPr>
        <w:t>Με απόφαση του Διοικητή εξειδικεύονται οι προϋποθέσεις επιβολής των κυρώσεων της παρ.1 και καθορίζεται κάθε αναγκαία λεπτομέρεια για την εφαρμογή του παρόντος.</w:t>
      </w:r>
    </w:p>
    <w:p>
      <w:pPr>
        <w:spacing w:before="240" w:after="240"/>
        <w:rPr>
          <w:lang w:val="el" w:eastAsia="el"/>
        </w:rPr>
      </w:pPr>
      <w:r>
        <w:rPr>
          <w:b/>
          <w:bCs/>
          <w:lang w:val="el" w:eastAsia="el"/>
        </w:rPr>
        <w:t>Άρθρο 51 Συμβάσεις προμήθειας τροχαίου υλικού για εκτέλεση συγκοινωνιακού έργου με μέσα οδικής μεταφοράς – Τροποποίηση άρθρου 33 ν. 4647/2019</w:t>
      </w:r>
    </w:p>
    <w:p>
      <w:pPr>
        <w:spacing w:before="240" w:after="240"/>
        <w:rPr>
          <w:lang w:val="el" w:eastAsia="el"/>
        </w:rPr>
      </w:pPr>
      <w:r>
        <w:rPr>
          <w:b/>
          <w:bCs/>
          <w:lang w:val="el" w:eastAsia="el"/>
        </w:rPr>
        <w:t>Σύμφωνα με το άρθρο 51 του κοινοποιούμενου νόμου, στο άρθρο 33 του ν. 4647/2019 (A’ 204), περί συμβάσεων προμήθειας τροχαίου υλικού για εκτέλεσης συγκοινωνιακού έργου με μέσα οδικής μεταφοράς, το υφιστάμενο άρθρο διαμορφώνεται ως παρ. 1 και μεταξύ άλλων προστίθενται παρ. 2 και 3 ως εξής:</w:t>
      </w:r>
    </w:p>
    <w:p>
      <w:pPr>
        <w:spacing w:before="240" w:after="240"/>
        <w:rPr>
          <w:lang w:val="el" w:eastAsia="el"/>
        </w:rPr>
      </w:pPr>
      <w:r>
        <w:rPr>
          <w:b/>
          <w:bCs/>
          <w:lang w:val="el" w:eastAsia="el"/>
        </w:rPr>
        <w:t>«2. Τροχαίο υλικό και τα παρελκόμενα αυτού, που έχουν αποκτηθεί από το Ελληνικό Δημόσιο σύμφωνα με την παρ. 1, δύναται να μεταβιβάζονται κατά πλήρη κυριότητα, χωρίς αντάλλαγμα, στις ανώνυμες εταιρείες του Δημοσίου «Οργανισμός Αστικών Συγκοινωνιών Αθηνών Ανώνυμη Εταιρεία» και «Οργανισμός Συγκοινωνιακού Έργου Θεσσαλονίκης Ανώνυμη Εταιρία », κατά περίπτωση, αποκλειστικά προς τον σκοπό της περαιτέρω διάθεσης αυτών στους φορείς παροχής συγκοινωνιακού έργου προς χρήση στο πλαίσιο παροχής του συγκοινωνιακού έργου εντός της γεωγραφικής περιοχής ευθύνης τους.</w:t>
      </w:r>
    </w:p>
    <w:p>
      <w:pPr>
        <w:spacing w:before="240" w:after="240"/>
        <w:rPr>
          <w:lang w:val="el" w:eastAsia="el"/>
        </w:rPr>
      </w:pPr>
      <w:r>
        <w:rPr>
          <w:lang w:val="el" w:eastAsia="el"/>
        </w:rPr>
        <w:t xml:space="preserve">3. </w:t>
      </w:r>
      <w:r>
        <w:rPr>
          <w:b/>
          <w:bCs/>
          <w:lang w:val="el" w:eastAsia="el"/>
        </w:rPr>
        <w:t>Η μεταβίβαση της κυριότητας του τροχαίου υλικού και των παρελκομένων του, συντελείται με την έκδοση κοινής απόφασης των Υπουργών Υποδομών και Μεταφορών και Εθνικής Οικονομίας και Οικονομικών, η οποία δημοσιεύεται στην Εφημερίδα της Κυβερνήσεως, με την οποία προσδιορίζονται το προς μεταβίβαση τροχαίο υλικό και τα παρελκόμενα του, καθορίζονται οι σχετικές διαδικασίες έκδοσης των αδειών κυκλοφορίας, καθώς και κάθε άλλη αναγκαία λεπτομέρεια. Η μεταβίβαση του τροχαίου υλικού και των παρελκομένων του δυνάμει του παρόντος, απαλλάσσεται κάθε φόρου, τέλους, εισφοράς και πάσης φύσης οικονομικής επιβάρυνσης.»</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Συγκοινωνιακό έργο Οργανισμού Αστικών Συγκοινωνιών Θεσσαλονίκης - Τροποποίηση άρθρου 26 ν. 4482/2017</w:t>
      </w:r>
    </w:p>
    <w:p>
      <w:pPr>
        <w:spacing w:before="240" w:after="240"/>
        <w:rPr>
          <w:lang w:val="el" w:eastAsia="el"/>
        </w:rPr>
      </w:pPr>
      <w:r>
        <w:rPr>
          <w:b/>
          <w:bCs/>
          <w:lang w:val="el" w:eastAsia="el"/>
        </w:rPr>
        <w:t>Σύμφωνα με το άρθρο 52 του κοινοποιούμενου νόμου, στο άρθρο 26 του ν. 4482/2017 (Α’ 102), περί συγκοινωνιακού έργου, το υφιστάμενο άρθρο διαμορφώνεται ως παρ. 1, προστίθενται παρ. 2 και 3, και το άρθρο 26 διαμορφώνεται ως εξής:</w:t>
      </w:r>
    </w:p>
    <w:p>
      <w:pPr>
        <w:spacing w:before="240" w:after="240"/>
        <w:rPr>
          <w:lang w:val="el" w:eastAsia="el"/>
        </w:rPr>
      </w:pPr>
      <w:r>
        <w:rPr>
          <w:b/>
          <w:bCs/>
          <w:lang w:val="el" w:eastAsia="el"/>
        </w:rPr>
        <w:t>«Άρθρο 26</w:t>
      </w:r>
    </w:p>
    <w:p>
      <w:pPr>
        <w:spacing w:before="240" w:after="240"/>
        <w:rPr>
          <w:lang w:val="el" w:eastAsia="el"/>
        </w:rPr>
      </w:pPr>
      <w:r>
        <w:rPr>
          <w:b/>
          <w:bCs/>
          <w:lang w:val="el" w:eastAsia="el"/>
        </w:rPr>
        <w:t>Συγκοινωνιακό έργο</w:t>
      </w:r>
    </w:p>
    <w:p>
      <w:pPr>
        <w:spacing w:before="240" w:after="240"/>
        <w:rPr>
          <w:lang w:val="el" w:eastAsia="el"/>
        </w:rPr>
      </w:pPr>
      <w:r>
        <w:rPr>
          <w:lang w:val="el" w:eastAsia="el"/>
        </w:rPr>
        <w:t xml:space="preserve">1. </w:t>
      </w:r>
      <w:r>
        <w:rPr>
          <w:b/>
          <w:bCs/>
          <w:lang w:val="el" w:eastAsia="el"/>
        </w:rPr>
        <w:t>Ανατίθεται προσωρινά στον Ο.Α.Σ.Θ. το συγκοινωνιακό έργο στην Περιφερειακή Ενότητα Θεσσαλονίκης για τον απολύτως αναγκαίο χρόνο και πάντως όχι μετά τις 31.12.2024. Κατά το χρονικό διάστημα της προσωρινής ανάθεσης του συγκοινωνιακού έργου στον Ο.Α.Σ.Θ., σύμφωνα με το προηγούμενο εδάφιο, το συγκοινωνιακό έργο θα παρέχεται με τους ίδιους όρους της από 30.4.2001 οικονομικής συμφωνίας μεταξύ Ελληνικού Δημοσίου και Ο.Α.Σ.Θ., όπως ίσχυε μετά την τροποποίηση και συμπλήρωσή της κατά την ημερομηνία δημοσιεύσεως του ν. 4482/2017 και ταυτόχρονα επιτρέπεται γι’ αυτό το συγκοινωνιακό έργο η σύναψη των συμβάσεων, που προβλέπονται στις διατάξεις του άρθρου 54 παρ. 3 και 4 του ν. 4568/2018.</w:t>
      </w:r>
    </w:p>
    <w:p>
      <w:pPr>
        <w:spacing w:before="240" w:after="240"/>
        <w:rPr>
          <w:lang w:val="el" w:eastAsia="el"/>
        </w:rPr>
      </w:pPr>
      <w:r>
        <w:rPr>
          <w:lang w:val="el" w:eastAsia="el"/>
        </w:rPr>
        <w:t xml:space="preserve">2. </w:t>
      </w:r>
      <w:r>
        <w:rPr>
          <w:b/>
          <w:bCs/>
          <w:lang w:val="el" w:eastAsia="el"/>
        </w:rPr>
        <w:t>Κατά το διάστημα της προσωρινής ανάθεσης του συγκοινωνιακού έργου στον Ο.Α.Σ.Θ., σύμφωνα με την παρ. 1, και προς τον σκοπό της εξυπηρέτησης του έργου αυτού, το Ελληνικό Δημόσιο δύναται να μεταβιβάζει στον Ο.Α.Σ.Θ. την κατοχή και να παραχωρεί τη χρήση του τροχαίου υλικού και των παρελκομένων του, που έχει αποκτήσει σύμφωνα με την παρ. 1 του άρθρου 33 του ν. 4647/2019 (Α’ 204) διατηρώντας παράλληλα την κυριότητα αυτού. Στην περίπτωση αυτή εφαρμόζονται το πέμπτο και έκτο εδάφιο της παρ. 2 του άρθρου 22.</w:t>
      </w:r>
    </w:p>
    <w:p>
      <w:pPr>
        <w:spacing w:before="240" w:after="240"/>
        <w:rPr>
          <w:lang w:val="el" w:eastAsia="el"/>
        </w:rPr>
      </w:pPr>
      <w:r>
        <w:rPr>
          <w:lang w:val="el" w:eastAsia="el"/>
        </w:rPr>
        <w:t xml:space="preserve">3. </w:t>
      </w:r>
      <w:r>
        <w:rPr>
          <w:b/>
          <w:bCs/>
          <w:lang w:val="el" w:eastAsia="el"/>
        </w:rPr>
        <w:t>Η μεταβίβαση της κατοχής και η παραχώρηση χρήσης του τροχαίου υλικού και των παρελκομένων του, σύμφωνα με την παρ. 2, συντελείται με την έκδοση κοινής απόφασης των Υπουργών Υποδομών και Μεταφορών και Εθνικής Οικονομίας και Οικονομικών, η οποία δημοσιεύεται στην Εφημερίδα της Κυβερνήσεως, με την οποία προσδιορίζονται το προς μεταβίβαση τροχαίο υλικό και τα παρελκόμενα του, οι διαδικασίες έκδοσης των αδειών κυκλοφορίας καθώς και κάθε άλλη αναγκαία λεπτομέρεια. Η μεταβίβαση της κατοχής και η παραχώρηση χρήσης του τροχαίου υλικού δυνάμει του παρόντος, απαλλάσσεται κάθε φόρου, τέλους, εισφοράς και πάσης φύσης οικονομικής επιβάρυνσης. Η ασφάλιση του τροχαίου υλικού της παρούσας, γίνεται δια του ειδικού λογαριασμού με την επωνυμία «ασφαλιστικό κεφάλαιο» του άρθρου 5 του ν.δ. 716/1970 (Α΄ 295). Ειδικά για την ασφάλεια πυρός επιτρέπεται στον Ο.Α.Σ.Θ. να ασφαλίσει το τροχαίο υλικό κατά του κινδύνου αυτού σε ασφαλιστικές εταιρείες που λειτουργούν νόμιμα στην Ελλάδα και τα συγκεκριμένα ασφάλιστρα καλύπτονται από τον ειδικό λογαριασμό με την επωνυμία «ασφαλιστικό κεφάλαιο» του προηγούμενου εδαφίου.».</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w:t>
      </w:r>
    </w:p>
    <w:p>
      <w:pPr>
        <w:spacing w:before="240" w:after="240"/>
        <w:rPr>
          <w:lang w:val="el" w:eastAsia="el"/>
        </w:rPr>
      </w:pPr>
      <w:r>
        <w:rPr>
          <w:b/>
          <w:bCs/>
          <w:lang w:val="el" w:eastAsia="el"/>
        </w:rPr>
        <w:t>Με το άρθρο 56 του κοινοποιούμενου νόμου επέρχονται στο άρθρο 151 του ν. 5078/2023 (Α΄ 211), περί χορήγησης ειδικής παροχής προστασίας της μητρότητας σε ελεύθερες επαγγελματίες, αυτοαπασχολούμενες και αγρότισσες, οι ακόλουθες τροποποιήσεις:</w:t>
      </w:r>
    </w:p>
    <w:p>
      <w:pPr>
        <w:pStyle w:val="StructureList1"/>
        <w:spacing w:before="120" w:after="0"/>
        <w:rPr>
          <w:lang w:val="el" w:eastAsia="el"/>
        </w:rPr>
      </w:pPr>
      <w:r>
        <w:rPr>
          <w:lang w:val="el" w:eastAsia="el"/>
        </w:rPr>
        <w:t>α)</w:t>
      </w:r>
      <w:r>
        <w:rPr>
          <w:lang w:val="en" w:eastAsia="en"/>
        </w:rPr>
        <w:tab/>
      </w:r>
      <w:r>
        <w:rPr>
          <w:b/>
          <w:bCs/>
          <w:lang w:val="el" w:eastAsia="el"/>
        </w:rPr>
        <w:t>στην παρ. 1, αα) στο πρώτο εδάφιο, οι λέξεις «τη λήξη» αντικαθίστανται με τις λέξεις «την καταβολή» και διαγράφεται η φράση «βάσει του άρθρου 6 του ν. 4097/2012 (Α΄ 235), και συγκεκριμένα μετά το πέρας δεκατεσσάρων (14) εβδομάδων από την επομένη του τοκετού», αβ) προστίθεται νέο δεύτερο εδάφιο,</w:t>
      </w:r>
    </w:p>
    <w:p>
      <w:pPr>
        <w:pStyle w:val="StructureList1"/>
        <w:spacing w:before="120" w:after="0"/>
        <w:rPr>
          <w:lang w:val="el" w:eastAsia="el"/>
        </w:rPr>
      </w:pPr>
      <w:r>
        <w:rPr>
          <w:lang w:val="el" w:eastAsia="el"/>
        </w:rPr>
        <w:t>β)</w:t>
      </w:r>
      <w:r>
        <w:rPr>
          <w:lang w:val="en" w:eastAsia="en"/>
        </w:rPr>
        <w:tab/>
      </w:r>
      <w:r>
        <w:rPr>
          <w:b/>
          <w:bCs/>
          <w:lang w:val="el" w:eastAsia="el"/>
        </w:rPr>
        <w:t>στην παρ. 3 προστίθεται τρίτο εδάφιο και το άρθρο 151 διαμορφώνεται ως εξής:</w:t>
      </w:r>
    </w:p>
    <w:p>
      <w:pPr>
        <w:spacing w:before="240" w:after="240"/>
        <w:rPr>
          <w:lang w:val="el" w:eastAsia="el"/>
        </w:rPr>
      </w:pPr>
      <w:r>
        <w:rPr>
          <w:lang w:val="el" w:eastAsia="el"/>
        </w:rPr>
        <w:t xml:space="preserve">«1 </w:t>
      </w:r>
      <w:r>
        <w:rPr>
          <w:b/>
          <w:bCs/>
          <w:lang w:val="el" w:eastAsia="el"/>
        </w:rPr>
        <w:t>. Η μητέρα ασφαλισμένη του e-ΕΦΚΑ, ελεύθερη επαγγελματίας, αυτοαπασχολούμενη ή αγρότισσα, δικαιούται ειδική παροχή προστασίας μητρότητας διάρκειας εννέα (9) μηνών, η οποία εκκινεί μετά την καταβολή του επιδόματος μητρότητας του e-ΕΦΚΑ. Ειδικά για την περίπτωση της υιοθεσίας, η καταβολή της ειδικής παροχής προστασίας της μητρότητας εκκινεί από την επομένη της τελεσιδικίας της δικαστικής απόφασης υιοθεσίας, ανεξάρτητα από το εάν ο δικαιούχος έλαβε επίδομα λοχείας από τον e-ΕΦΚΑ. Η Δημόσια Υπηρεσία Απασχόλησης (Δ.ΥΠ.Α.) καταβάλλει στις δικαιούχους μηνιαίως ποσό ίσο με τον εκάστοτε ισχύοντα κατώτατο μισθό, κατόπιν ελέγχου ασφαλιστικής ενημερότητας.</w:t>
      </w:r>
    </w:p>
    <w:p>
      <w:pPr>
        <w:spacing w:before="240" w:after="240"/>
        <w:rPr>
          <w:lang w:val="el" w:eastAsia="el"/>
        </w:rPr>
      </w:pPr>
      <w:r>
        <w:rPr>
          <w:lang w:val="el" w:eastAsia="el"/>
        </w:rPr>
        <w:t xml:space="preserve">2. </w:t>
      </w:r>
      <w:r>
        <w:rPr>
          <w:b/>
          <w:bCs/>
          <w:lang w:val="el" w:eastAsia="el"/>
        </w:rPr>
        <w:t>Την ειδική παροχή προστασίας της μητρότητας μη μισθωτών δικαιούνται και η τεκμαιρόμενη μητέρα του άρθρου 1464 του Αστικού Κώδικα, που αποκτά τέκνο με τη διαδικασία της παρένθετης μητρότητας και η μη μισθωτή, που υιοθετεί τέκνο από την ένταξη του παιδιού στην οικογένεια και έως την ηλικία των οκτώ (8) ετών. Για την εφαρμογή του πρώτου εδαφίου για τις έννοιες «εργαζόμενη που υιοθετεί τέκνο» και «ένταξη του παιδιού στην οικογένεια» ισχύουν οι ορισμοί του άρθρου 228 του π.δ. 80/2022 (Α΄ 222).</w:t>
      </w:r>
    </w:p>
    <w:p>
      <w:pPr>
        <w:spacing w:before="240" w:after="240"/>
        <w:rPr>
          <w:lang w:val="el" w:eastAsia="el"/>
        </w:rPr>
      </w:pPr>
      <w:r>
        <w:rPr>
          <w:lang w:val="el" w:eastAsia="el"/>
        </w:rPr>
        <w:t xml:space="preserve">3. </w:t>
      </w:r>
      <w:r>
        <w:rPr>
          <w:b/>
          <w:bCs/>
          <w:lang w:val="el" w:eastAsia="el"/>
        </w:rPr>
        <w:t>Η μητέρα δικαιούται να μεταβιβάσει έως επτά (7) μήνες από την ειδική παροχή προστασίας της μητρότητας της παρ. 1 στον πατέρα, ανεξαρτήτως αν αυτός εργάζεται με σχέση εξαρτημένης εργασίας ιδιωτικού δικαίου ή είναι ελεύθερος επαγγελματίας ή αυτοαπασχολούμενος ή αγρότης. Για όσο χρόνο ο πατέρας λαμβάνει την άδεια που του έχει μεταβιβάσει η μητέρα, δικαιούται τις παροχές της παρ. 1 εφόσον είναι ασφαλιστικά ενήμερος. Σε περίπτωση που ο πατέρας εργάζεται με σχέση εξαρτημένης εργασίας ιδιωτικού δικαίου, λαμβάνει, πλέον της ειδικής παροχής προστασίας μητρότητας, αναλογία δώρων εορτών και επιδόματος αδείας και ασφαλίζεται με βάση το ασφαλιστικό καθεστώς στο οποίο υπάγεται Ειδικότερα, ο χρόνος της ειδικής άδειας προστασίας της μητρότητας λογίζεται ως χρόνος ασφάλισης στους κλάδους κύριας σύνταξης και ασθένειας του e-ΕΦΚΑ, καθώς και στους οικείους φορείς επικουρικής ασφάλισης, οι δε προβλεπόμενες εισφορές υπολογίζονται επί του εκάστοτε κατώτατου μισθού, από τον οποίο η Δ.ΥΠ.Α. παρακρατεί την προβλεπόμενη εισφορά ασφαλισμένου και την αποδίδει στους αρμόδιους φορείς, μαζί με την προβλεπόμενη εισφορά εργοδότη που βαρύνει τη Δ.ΥΠ.Α..</w:t>
      </w:r>
    </w:p>
    <w:p>
      <w:pPr>
        <w:spacing w:before="240" w:after="240"/>
        <w:rPr>
          <w:lang w:val="el" w:eastAsia="el"/>
        </w:rPr>
      </w:pPr>
      <w:r>
        <w:rPr>
          <w:b/>
          <w:bCs/>
          <w:lang w:val="el" w:eastAsia="el"/>
        </w:rPr>
        <w:t>3Α. Σε περίπτωση απόκτησης κοινού παιδιού από ομόφυλους συζύγους, ο δικαιούχος της ειδικής παροχής του παρόντος γονέας καθορίζεται με κοινή δήλωση των συζύγων προς τον Ηλεκτρονικό Εθνικό Φορέα Κοινωνικής Ασφάλισης. Στην περίπτωση αυτή, ο δικαιούχος γονέας δικαιούται να μεταβιβάσει έως επτά (7) μήνες από την ειδική παροχή προς τον άλλον γονέα, ανεξαρτήτως αν αυτός εργάζεται με σχέση εξαρτημένης εργασίας ιδιωτικού δικαίου ή είναι ελεύθερος επαγγελματίας ή αυτοαπασχολούμενος ή αγρότης.</w:t>
      </w:r>
    </w:p>
    <w:p>
      <w:pPr>
        <w:spacing w:before="240" w:after="240"/>
        <w:rPr>
          <w:lang w:val="el" w:eastAsia="el"/>
        </w:rPr>
      </w:pPr>
      <w:r>
        <w:rPr>
          <w:lang w:val="el" w:eastAsia="el"/>
        </w:rPr>
        <w:t xml:space="preserve">4. </w:t>
      </w:r>
      <w:r>
        <w:rPr>
          <w:b/>
          <w:bCs/>
          <w:lang w:val="el" w:eastAsia="el"/>
        </w:rPr>
        <w:t>Η καταβολή της παροχής της παρ. 1 στις αγρότισσες χρηματοδοτείται από τον Κρατικό Προϋπολογισμό. Για τις ελεύθερες επαγγελματίες και αυτοαπασχολούμενες μητέρες αξιοποιείται ο Ειδικός Λογαριασμός Ανεργίας υπέρ των Αυτοτελώς και Ανεξαρτήτως Απασχολουμένων της περ. α της παρ. 2 του άρθρου 44 του ν. 3986/2011 (Α΄ 152). Από 1ης.1.2024 στους σκοπούς του ανωτέρω Ειδικού Λογαριασμού προστίθεται η προστασία της μητρότητας των αυτοαπασχολούμενων και των ανεξαρτήτως απασχολούμενων μέσω της ειδικής παροχής της παρ. 1 και αυτός μετονομάζεται σε Ειδικό Λογαριασμό υπέρ των Αυτοτελώς και Ανεξαρτήτως Απασχολούμενων.</w:t>
      </w:r>
    </w:p>
    <w:p>
      <w:pPr>
        <w:spacing w:before="240" w:after="240"/>
        <w:rPr>
          <w:lang w:val="el" w:eastAsia="el"/>
        </w:rPr>
      </w:pPr>
      <w:r>
        <w:rPr>
          <w:lang w:val="el" w:eastAsia="el"/>
        </w:rPr>
        <w:t xml:space="preserve">5. </w:t>
      </w:r>
      <w:r>
        <w:rPr>
          <w:b/>
          <w:bCs/>
          <w:lang w:val="el" w:eastAsia="el"/>
        </w:rPr>
        <w:t>Την ειδική παροχή προστασίας μητρότητας δικαιούνται και όσες μητέρες απέκτησαν τέκνο έως και δε-κατέσσερις (14) εβδομάδες πριν από τη λήξη του έτους 2023 και ειδικότερα έως και την 24/09/2023.</w:t>
      </w:r>
    </w:p>
    <w:p>
      <w:pPr>
        <w:spacing w:before="240" w:after="240"/>
        <w:rPr>
          <w:lang w:val="el" w:eastAsia="el"/>
        </w:rPr>
      </w:pPr>
      <w:r>
        <w:rPr>
          <w:lang w:val="el" w:eastAsia="el"/>
        </w:rPr>
        <w:t xml:space="preserve">6. </w:t>
      </w:r>
      <w:r>
        <w:rPr>
          <w:b/>
          <w:bCs/>
          <w:lang w:val="el" w:eastAsia="el"/>
        </w:rPr>
        <w:t>Η παροχή της παρ. 1 είναι αφορολόγητη, ανεκχώρητη και ακατάσχετη, στα χέρια του Δημοσίου ή τρίτων, κατά παρέκκλιση κάθε άλλης αντίθετης διάταξης, δεν δεσμεύεται και δεν συμψηφίζεται με βεβαιωμένα χρέη προς 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 και δεν υπόκειται σε οποιοδήποτε τέλος, εισφορά ή άλλη κράτηση υπέρ του Δημοσίου ή του e-ΕΦΚΑ.».</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το άρθρο 63 του κοινοποιούμενου νόμου, η ισχύς του αρχίζει από τη δημοσίευσή του στην Εφημερίδα της Κυβερνήσεως, εκτός αν ορίζεται ειδικότερα στις επιμέρους διατάξεις του.</w:t>
      </w:r>
    </w:p>
    <w:p>
      <w:pPr>
        <w:spacing w:before="240" w:after="240"/>
        <w:rPr>
          <w:lang w:val="el" w:eastAsia="el"/>
        </w:rPr>
      </w:pPr>
      <w:r>
        <w:rPr>
          <w:b/>
          <w:bCs/>
          <w:lang w:val="el" w:eastAsia="el"/>
        </w:rPr>
        <w:t>Συνημμένα: Απόσπασμα του ΦΕΚ Α΄33/04.03.2024 που περιλαμβάνει τα κοινοποιούμενα άρθρα του ν. 5092/2024.</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Γραμματέα Φορολογικής Πολιτικής και Δημόσιας Περιουσίας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Αποδέκτες Πίνακα Α΄ (εκτός των αριθμών 2 και 3 αυτού)</w:t>
      </w:r>
    </w:p>
    <w:p>
      <w:pPr>
        <w:pStyle w:val="MainText"/>
        <w:spacing w:before="120" w:after="0"/>
        <w:rPr>
          <w:lang w:val="el" w:eastAsia="el"/>
        </w:rPr>
      </w:pPr>
      <w:r>
        <w:rPr>
          <w:b/>
          <w:bCs/>
          <w:lang w:val="el" w:eastAsia="el"/>
        </w:rPr>
        <w:t>5.</w:t>
      </w:r>
      <w:r>
        <w:rPr>
          <w:lang w:val="el" w:eastAsia="el"/>
        </w:rPr>
        <w:t xml:space="preserve"> </w:t>
      </w:r>
      <w:r>
        <w:rPr>
          <w:b/>
          <w:bCs/>
          <w:lang w:val="el" w:eastAsia="el"/>
        </w:rPr>
        <w:t>Αποδέκτες Πίνακα Β΄</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Εφαρμογής Φορολογίας Κεφαλαίου &amp; Περιουσιολογίου</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Ελεγκτικών Διαδικασιών, Τμήματα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aade.gr" TargetMode="External" /><Relationship Id="rId5" Type="http://schemas.openxmlformats.org/officeDocument/2006/relationships/hyperlink" Target="mailto:dideisep@aade.gr" TargetMode="External" /><Relationship Id="rId6" Type="http://schemas.openxmlformats.org/officeDocument/2006/relationships/hyperlink" Target="mailto:deef@aade.gr" TargetMode="External" /><Relationship Id="rId7" Type="http://schemas.openxmlformats.org/officeDocument/2006/relationships/hyperlink" Target="mailto:defk@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