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 ΛΑΔΕ</w:t>
      </w:r>
    </w:p>
    <w:p>
      <w:pPr>
        <w:pStyle w:val="PreambelText"/>
        <w:spacing w:before="240" w:after="240"/>
        <w:rPr>
          <w:lang w:val="el" w:eastAsia="el"/>
        </w:rPr>
      </w:pPr>
      <w:r>
        <w:rPr>
          <w:lang w:val="el" w:eastAsia="el"/>
        </w:rPr>
        <w:t xml:space="preserve">Ανεξάρτητη Αρχή </w:t>
      </w:r>
      <w:r>
        <w:rPr>
          <w:b/>
          <w:bCs/>
          <w:lang w:val="el" w:eastAsia="el"/>
        </w:rPr>
        <w:t>0ΛΟΓΙΑΣ</w:t>
      </w:r>
    </w:p>
    <w:p>
      <w:pPr>
        <w:pStyle w:val="PreambelText"/>
        <w:spacing w:before="240" w:after="240"/>
        <w:rPr>
          <w:lang w:val="el" w:eastAsia="el"/>
        </w:rPr>
      </w:pPr>
      <w:r>
        <w:rPr>
          <w:lang w:val="el" w:eastAsia="el"/>
        </w:rPr>
        <w:t xml:space="preserve">. ._.4Π119&lt;?!ίΡ.Υ Εσόδων] </w:t>
      </w:r>
      <w:r>
        <w:rPr>
          <w:b/>
          <w:bCs/>
          <w:lang w:val="el" w:eastAsia="el"/>
        </w:rPr>
        <w:t>ΕΙΣΠΡΑΞΕΩΝ</w:t>
      </w:r>
    </w:p>
    <w:p>
      <w:pPr>
        <w:pStyle w:val="PreambelText"/>
        <w:spacing w:before="240" w:after="240"/>
        <w:rPr>
          <w:lang w:val="el" w:eastAsia="el"/>
        </w:rPr>
      </w:pPr>
      <w:r>
        <w:rPr>
          <w:b/>
          <w:bCs/>
          <w:lang w:val="el" w:eastAsia="el"/>
        </w:rPr>
        <w:t>ΚΑΙ ΕΠΙΣΤΡΟΦΩΝ</w:t>
      </w:r>
    </w:p>
    <w:p>
      <w:pPr>
        <w:pStyle w:val="PreambelText"/>
        <w:spacing w:before="240" w:after="240"/>
        <w:rPr>
          <w:lang w:val="el" w:eastAsia="el"/>
        </w:rPr>
      </w:pPr>
      <w:r>
        <w:rPr>
          <w:b/>
          <w:bCs/>
          <w:lang w:val="el" w:eastAsia="el"/>
        </w:rPr>
        <w:t>ΤΜΗΜΑΤΑ Α΄, Γ΄</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Τηλέφωνα : 210 3636059, 3614303</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ΘΕΜΑ: Κοινοποίηση των διατάξεων της παρ. 6 του άρθρου 23, της παρ. 2 του άρθρου 49 και του άρθρου 51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και άλλες διατάξεις”, Α΄48/5-4-2024]</w:t>
      </w:r>
    </w:p>
    <w:p>
      <w:pPr>
        <w:pStyle w:val="enacting"/>
        <w:spacing w:before="120" w:after="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της παρ. 6 του άρθρου 23, της παρ. 2 του άρθρου 49 και του άρθρου 51 του ν. 5099/2024</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5099/2024:</w:t>
      </w:r>
    </w:p>
    <w:p>
      <w:pPr>
        <w:pStyle w:val="PreambelText"/>
        <w:spacing w:before="240" w:after="240"/>
        <w:rPr>
          <w:lang w:val="el" w:eastAsia="el"/>
        </w:rPr>
      </w:pPr>
      <w:r>
        <w:rPr>
          <w:b/>
          <w:bCs/>
          <w:lang w:val="el" w:eastAsia="el"/>
        </w:rPr>
        <w:t xml:space="preserve">1. </w:t>
      </w:r>
      <w:r>
        <w:rPr>
          <w:b/>
          <w:bCs/>
          <w:lang w:val="el" w:eastAsia="el"/>
        </w:rPr>
        <w:t>της παρ. 6 του άρθρου 23 σχετικά με την έκδοση απόφασης από τον Υπουργό Εθνικής Οικονομίας και Οικονομικών, περί ανάθεσης στις υπηρεσίες της Φορολογικής Διοίκησης της είσπραξης υπέρ της Αρχής Προστασίας Δεδομένων Προσωπικού Χαρακτήρα των προστίμων και των περιοδικών χρηματικών κυρώσεων που αυτή επιβάλλει στο πλαίσιο άσκησης των αρμοδιοτήτων της,</w:t>
      </w:r>
    </w:p>
    <w:p>
      <w:pPr>
        <w:pStyle w:val="PreambelText"/>
        <w:spacing w:before="240" w:after="240"/>
        <w:rPr>
          <w:lang w:val="el" w:eastAsia="el"/>
        </w:rPr>
      </w:pPr>
      <w:r>
        <w:rPr>
          <w:b/>
          <w:bCs/>
          <w:lang w:val="el" w:eastAsia="el"/>
        </w:rPr>
        <w:t xml:space="preserve">2. </w:t>
      </w:r>
      <w:r>
        <w:rPr>
          <w:b/>
          <w:bCs/>
          <w:lang w:val="el" w:eastAsia="el"/>
        </w:rPr>
        <w:t>της παρ. 2 του άρθρου 49 σχετικά με την παράταση της διαδικασίας ειδικής διαχείρισης της ανώνυμης εταιρείας «ΛΑΡΚΟ» (τροποποίηση παρ. 10 άρθρου 21 ν. 4664/2020) και</w:t>
      </w:r>
    </w:p>
    <w:p>
      <w:pPr>
        <w:pStyle w:val="PreambelText"/>
        <w:spacing w:before="240" w:after="240"/>
        <w:rPr>
          <w:lang w:val="el" w:eastAsia="el"/>
        </w:rPr>
      </w:pPr>
      <w:r>
        <w:rPr>
          <w:b/>
          <w:bCs/>
          <w:lang w:val="el" w:eastAsia="el"/>
        </w:rPr>
        <w:t xml:space="preserve">3. </w:t>
      </w:r>
      <w:r>
        <w:rPr>
          <w:b/>
          <w:bCs/>
          <w:lang w:val="el" w:eastAsia="el"/>
        </w:rPr>
        <w:t>του άρθρου 51 σχετικά με την έναρξη ισχύος του κοινοποιούμενου νόμου</w:t>
      </w:r>
    </w:p>
    <w:p>
      <w:pPr>
        <w:pStyle w:val="PreambelText"/>
        <w:spacing w:before="240" w:after="24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1. </w:t>
      </w:r>
      <w:r>
        <w:rPr>
          <w:b/>
          <w:bCs/>
          <w:lang w:val="el" w:eastAsia="el"/>
        </w:rPr>
        <w:t>Η παρ. 6 του άρθρου 23 αφορά την ανάθεση στις υπηρεσίες της Φορολογικής Διοίκησης της είσπραξης υπέρ της Αρχής Προστασίας Δεδομένων Προσωπικού Χαρακτήρα των προστίμων και των περιοδικών χρηματικών κυρώσεων που αυτή επιβάλλει στο πλαίσιο άσκησης των αρμοδιοτήτων της.</w:t>
      </w:r>
    </w:p>
    <w:p>
      <w:pPr>
        <w:pStyle w:val="PreambelText"/>
        <w:spacing w:before="240" w:after="240"/>
        <w:rPr>
          <w:lang w:val="el" w:eastAsia="el"/>
        </w:rPr>
      </w:pPr>
      <w:r>
        <w:rPr>
          <w:b/>
          <w:bCs/>
          <w:lang w:val="el" w:eastAsia="el"/>
        </w:rPr>
        <w:t xml:space="preserve">2. </w:t>
      </w:r>
      <w:r>
        <w:rPr>
          <w:b/>
          <w:bCs/>
          <w:lang w:val="el" w:eastAsia="el"/>
        </w:rPr>
        <w:t>Η παρ. 2 του άρθρου 49 αφορά τη διαδικασία ειδικής διαχείρισης της εταιρείας «ΓΕΝΙΚΗ ΜΕΤΑΛΛΕΥΤΙΚΗ ΚΑΙ ΜΕΤΑΛΛΟΥΡΓΙΚΗ ΑΝΩΝΥΜΗ ΕΤΑΙΡΙΑ ΛΑΡΚΟ».</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της παρ. 6 του άρθρου 23, της παρ. 2 του άρθρου 49 και του άρθρου 51 του ν. 5099/2024 (Α΄48),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Mε την παρ. 6 του άρθρου 23 του κοινοποιούμενου νόμου ορίζεται ότι κατόπιν απόφασης του Προέδρου της Αρχής Προστασίας Δεδομένων Προσωπικού Χαρακτήρα, με την οποία καθίσταται επιτρεπτή η είσπραξη προστίμων από την Ανεξάρτητη Αρχή Δημοσίων Εσόδων υπέρ της Αρχής Προστασίας Δεδομένων Προσωπικού Χαρακτήρα και ακολούθως υποβολής σχετικής αίτησης προς τον Υπουργό Εθνικής Οικονομίας και Οικονομικών, εκδίδεται από τον τελευταίο απόφαση δυνάμει της οποίας, ανατίθεται στις υπηρεσίες της Φορολογικής Διοίκησης η είσπραξη υπέρ της Αρχής Προστασίας Δεδομένων Προσωπικού Χαρακτήρα των προστίμων και των περιοδικών χρηματικών κυρώσεων που αυτή επιβάλλει στο πλαίσιο άσκησης των αρμοδιοτήτων της σύμφωνα με την Πράξη και τον κοινοποιούμενο νόμο σε περίπτωση μη καταβολής τους στον τραπεζικό λογαριασμό της αρχής, σύμφωνα με την παρ. 7 του άρθρου 16 του κοινοποιούμενου νόμου.</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“Συμβάσεις εργασίας και παράταση ειδικής διαχείρισης ανώνυμης εταιρείας «ΛΑΡΚΟ» - Τροποποίηση άρθρου 97 ν. 4941/2022 και παρ. 10 άρθρου 21 ν. 4664/2020” Με την παρ. 2 του άρθρου 49 του κοινοποιούμενου νόμου παρατάθηκε η προθεσμία του πρώτου εδαφίου της παρ. 10 του άρθρου 21 του ν. 4664/2020 (Α’ 32), περί προθεσμίας για τη μεταβίβαση του ενεργητικού της «ΛΑΡΚΟ», προστέθηκε νέο δεύτερο εδάφιο, και η παρ. 10 διαμορφώθηκε ως εξής:</w:t>
      </w:r>
    </w:p>
    <w:p>
      <w:pPr>
        <w:spacing w:before="240" w:after="240"/>
        <w:rPr>
          <w:lang w:val="el" w:eastAsia="el"/>
        </w:rPr>
      </w:pPr>
      <w:r>
        <w:rPr>
          <w:b/>
          <w:bCs/>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εταιρείας (ως λογιστική αξία) εντός σαράντα έξι (46)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Με κοινή απόφαση των Υπουργών Εθνικής Οικονομίας και Οικονομικών και Περιβάλλοντος και Ενέργειας η προθεσμία του πρώτου εδαφίου μπορεί να παραταθεί περαιτέρω.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51 του κοινοποιούμενου νόμου, η ισχύς του αρχίζει από τη δημοσίευσή του στην Εφημερίδα της Κυβερνήσεως (5/4/2024).</w:t>
      </w:r>
    </w:p>
    <w:p>
      <w:pPr>
        <w:spacing w:before="240" w:after="240"/>
        <w:rPr>
          <w:lang w:val="el" w:eastAsia="el"/>
        </w:rPr>
      </w:pPr>
      <w:r>
        <w:rPr>
          <w:b/>
          <w:bCs/>
          <w:lang w:val="el" w:eastAsia="el"/>
        </w:rPr>
        <w:t>Συνημμένo: απόσπασμα του ΦΕΚ Α΄48/5-4-2024 (άρθρα 23, 49 και 51 του ν. 5099/2024)</w:t>
      </w:r>
    </w:p>
    <w:p>
      <w:pPr>
        <w:spacing w:before="240" w:after="240"/>
        <w:rPr>
          <w:lang w:val="el" w:eastAsia="el"/>
        </w:rPr>
      </w:pPr>
      <w:r>
        <w:rPr>
          <w:b/>
          <w:bCs/>
          <w:lang w:val="el" w:eastAsia="el"/>
        </w:rPr>
        <w:t>Ο ΔΙΟΙΚΗΤΗΣ ΤΗΣ ΑΝΕΞΑΡΤΗΤΗΣ ΑΡΧΗΣ ΔΗΜΟΣΙΩΝ ΕΣΟΔΩΝα.α.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(ΔΔΑΔ Γ 1159316 ΕΞ 2023/28-12-2023)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Τμήματα Α, Β, 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