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ΔΗΜΟΚΡΑΤΙA</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ΚΑΙ ΠΕΡΙΟΥΣΙΟΛΟΓΙΟΥ</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Κώδ. : 18346 Μοσχάτο</w:t>
      </w:r>
    </w:p>
    <w:p>
      <w:pPr>
        <w:spacing w:before="240" w:after="240"/>
        <w:rPr>
          <w:lang w:val="el" w:eastAsia="el"/>
        </w:rPr>
      </w:pPr>
      <w:r>
        <w:rPr>
          <w:b/>
          <w:bCs/>
          <w:lang w:val="el" w:eastAsia="el"/>
        </w:rPr>
        <w:t>Τηλέφωνο : 210 4802452</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defk@ aade.gr</w:t>
        </w:r>
      </w:hyperlink>
    </w:p>
    <w:p>
      <w:pPr>
        <w:spacing w:before="240" w:after="240"/>
        <w:rPr>
          <w:lang w:val="el" w:eastAsia="el"/>
        </w:rPr>
      </w:pPr>
      <w:r>
        <w:rPr>
          <w:b/>
          <w:bCs/>
          <w:lang w:val="el" w:eastAsia="el"/>
        </w:rPr>
        <w:t xml:space="preserve">2. </w:t>
      </w:r>
      <w:r>
        <w:rPr>
          <w:b/>
          <w:bCs/>
          <w:lang w:val="el" w:eastAsia="el"/>
        </w:rPr>
        <w:t>ΔΙΕΥΘΥΝΣΗ ΕΦΑΡΜΟΓΗΣ ΕΜΜΕΣΗΣ</w:t>
      </w:r>
    </w:p>
    <w:p>
      <w:pPr>
        <w:spacing w:before="240" w:after="240"/>
        <w:rPr>
          <w:lang w:val="el" w:eastAsia="el"/>
        </w:rPr>
      </w:pPr>
      <w:r>
        <w:rPr>
          <w:b/>
          <w:bCs/>
          <w:lang w:val="el" w:eastAsia="el"/>
        </w:rPr>
        <w:t>ΦΟΡΟΛΟΓΙΑΣ</w:t>
      </w:r>
    </w:p>
    <w:p>
      <w:pPr>
        <w:spacing w:before="240" w:after="240"/>
        <w:rPr>
          <w:lang w:val="el" w:eastAsia="el"/>
        </w:rPr>
      </w:pPr>
      <w:r>
        <w:rPr>
          <w:b/>
          <w:bCs/>
          <w:lang w:val="el" w:eastAsia="el"/>
        </w:rPr>
        <w:t>: Σίνα 2-4</w:t>
      </w:r>
    </w:p>
    <w:p>
      <w:pPr>
        <w:spacing w:before="240" w:after="240"/>
        <w:rPr>
          <w:lang w:val="el" w:eastAsia="el"/>
        </w:rPr>
      </w:pPr>
      <w:r>
        <w:rPr>
          <w:b/>
          <w:bCs/>
          <w:lang w:val="el" w:eastAsia="el"/>
        </w:rPr>
        <w:t>: 106 72 Αθήνα</w:t>
      </w:r>
    </w:p>
    <w:p>
      <w:pPr>
        <w:spacing w:before="240" w:after="240"/>
        <w:rPr>
          <w:lang w:val="el" w:eastAsia="el"/>
        </w:rPr>
      </w:pPr>
      <w:r>
        <w:rPr>
          <w:b/>
          <w:bCs/>
          <w:lang w:val="el" w:eastAsia="el"/>
        </w:rPr>
        <w:t>: 2132122400</w:t>
      </w:r>
    </w:p>
    <w:p>
      <w:pPr>
        <w:spacing w:before="240" w:after="240"/>
        <w:rPr>
          <w:lang w:val="el" w:eastAsia="el"/>
        </w:rPr>
      </w:pPr>
      <w:r>
        <w:rPr>
          <w:b/>
          <w:bCs/>
          <w:lang w:val="el" w:eastAsia="el"/>
        </w:rPr>
        <w:t>:</w:t>
      </w:r>
      <w:hyperlink r:id="rId5" w:history="1">
        <w:r>
          <w:rPr>
            <w:rStyle w:val="Hyperlink"/>
            <w:b/>
            <w:bCs/>
            <w:color w:val="0000EE"/>
            <w:u w:color="0000EE"/>
            <w:lang w:val="el" w:eastAsia="el"/>
          </w:rPr>
          <w:t>deef@ aade.gr</w:t>
        </w:r>
      </w:hyperlink>
    </w:p>
    <w:p>
      <w:pPr>
        <w:spacing w:before="240" w:after="240"/>
        <w:rPr>
          <w:lang w:val="el" w:eastAsia="el"/>
        </w:rPr>
      </w:pPr>
      <w:r>
        <w:rPr>
          <w:b/>
          <w:bCs/>
          <w:lang w:val="el" w:eastAsia="el"/>
        </w:rPr>
        <w:t>Θέμα: Κοινοποίηση διατάξεων των άρθρων 3 και 4 του ν. 5109/2024 με τίτλο «Κύρωση της σύμβασης δωρεάς μεταξύ του Υπουργείου Πολιτισμού και του νομικού προσώπου δημοσίου δικαίου με την επωνυμία «Εθνικό Αρχαιολογικό Μουσείο», ως δωρεοδόχων, και των Σπυρίδωνα Ι. Λάτση και Ντόροθυ συζ. Σ Λάτση, ως δωρητών, σχετικά με τη χρηματοδότηση, εκ μέρους των δωρητών, της εκπόνησης μελετών για την αναβάθμιση και επέκταση του κτιρίου που στεγάζει το Εθνικό Αρχαιολογικό Μουσείο» (Α΄67/16.05.2024) και του άρθρου 13 της Σύμβασης Δωρεάς.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των άρθρων 3 και 4 του ν. 5109/2024 και του άρθρου 13 της Σύμβασης Δωρεάς.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5109/2024:</w:t>
      </w:r>
    </w:p>
    <w:p>
      <w:pPr>
        <w:spacing w:before="240" w:after="240"/>
        <w:rPr>
          <w:lang w:val="el" w:eastAsia="el"/>
        </w:rPr>
      </w:pPr>
      <w:r>
        <w:rPr>
          <w:b/>
          <w:bCs/>
          <w:lang w:val="el" w:eastAsia="el"/>
        </w:rPr>
        <w:t xml:space="preserve">1. </w:t>
      </w:r>
      <w:r>
        <w:rPr>
          <w:b/>
          <w:bCs/>
          <w:lang w:val="el" w:eastAsia="el"/>
        </w:rPr>
        <w:t>Άρθρο 3 «Κύρωση της σύμβασης δωρεάς»,</w:t>
      </w:r>
    </w:p>
    <w:p>
      <w:pPr>
        <w:spacing w:before="240" w:after="240"/>
        <w:rPr>
          <w:lang w:val="el" w:eastAsia="el"/>
        </w:rPr>
      </w:pPr>
      <w:r>
        <w:rPr>
          <w:b/>
          <w:bCs/>
          <w:lang w:val="el" w:eastAsia="el"/>
        </w:rPr>
        <w:t xml:space="preserve">2. </w:t>
      </w:r>
      <w:r>
        <w:rPr>
          <w:b/>
          <w:bCs/>
          <w:lang w:val="el" w:eastAsia="el"/>
        </w:rPr>
        <w:t>Άρθρο 13 της Σύμβασης Δωρεάς «Φορολογικές Ρυθμίσεις»,</w:t>
      </w:r>
    </w:p>
    <w:p>
      <w:pPr>
        <w:spacing w:before="240" w:after="240"/>
        <w:rPr>
          <w:lang w:val="el" w:eastAsia="el"/>
        </w:rPr>
      </w:pPr>
      <w:r>
        <w:rPr>
          <w:b/>
          <w:bCs/>
          <w:lang w:val="el" w:eastAsia="el"/>
        </w:rPr>
        <w:t xml:space="preserve">3. </w:t>
      </w:r>
      <w:r>
        <w:rPr>
          <w:b/>
          <w:bCs/>
          <w:lang w:val="el" w:eastAsia="el"/>
        </w:rPr>
        <w:t>Άρθρο 4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Αφορά στο Υπουργείο Πολιτισμού και στο νομικό πρόσωπο δημοσίου δικαίου με την επωνυμία «Εθνικό Αρχαιολογικό Μουσείο».</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3 και 4 του ν. 5109/2024 (Α’ 67) καθώς και το άρθρο 13 της Σύμβασης Δωρεάς, ως ακολούθως: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«Κύρωση της σύμβασης δωρεάς»</w:t>
      </w:r>
    </w:p>
    <w:p>
      <w:pPr>
        <w:spacing w:before="240" w:after="240"/>
        <w:rPr>
          <w:lang w:val="el" w:eastAsia="el"/>
        </w:rPr>
      </w:pPr>
      <w:r>
        <w:rPr>
          <w:b/>
          <w:bCs/>
          <w:lang w:val="el" w:eastAsia="el"/>
        </w:rPr>
        <w:t>Με το άρθρο 3 του κοινοποιούμενου νόμου κυρώνεται και έχει ισχύ νόμου η σύμβαση δωρεάς με τα συνημμένα σε αυτήν Παραρτήματα, η οποία υπογράφηκε τη 17η Απριλίου 2024 μεταξύ, αφενός, του Υπουργείου Πολιτισμού και του νομικού προσώπου δημοσίου δικαίου με την επωνυμία «Εθνικό Αρχαιολογικό Μουσείο», ως δωρεοδόχων, και αφετέρου, των Σπυρίδωνα Ι. Λάτση και Ντόροθυ συζ. Σ. Λάτση, ως δωρητών, το κείμενο της οποίας περιλαμβάνεται στο συνημμένο ΦΕΚ και η οποία περιέχει Προοίμιο, Άρθρα 1-15 και 4 Παραρτήματα.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της Σύμβασης Δωρεάς - «Φορολογικές Ρυθμίσεις»</w:t>
      </w:r>
    </w:p>
    <w:p>
      <w:pPr>
        <w:spacing w:before="240" w:after="240"/>
        <w:rPr>
          <w:lang w:val="el" w:eastAsia="el"/>
        </w:rPr>
      </w:pPr>
      <w:r>
        <w:rPr>
          <w:b/>
          <w:bCs/>
          <w:lang w:val="el" w:eastAsia="el"/>
        </w:rPr>
        <w:t>Με το άρθρο 13 της Σύμβασης Δωρεάς ορίζονται τα εξής:</w:t>
      </w:r>
    </w:p>
    <w:p>
      <w:pPr>
        <w:spacing w:before="240" w:after="240"/>
        <w:rPr>
          <w:lang w:val="el" w:eastAsia="el"/>
        </w:rPr>
      </w:pPr>
      <w:r>
        <w:rPr>
          <w:b/>
          <w:bCs/>
          <w:lang w:val="el" w:eastAsia="el"/>
        </w:rPr>
        <w:t>«1. Η Σύμβαση εμπίπτει στο πεδίο εφαρμογής της περ. ιστ΄ της παρ. 1 του άρθρου 27 του ν.</w:t>
      </w:r>
    </w:p>
    <w:p>
      <w:pPr>
        <w:spacing w:before="240" w:after="240"/>
        <w:rPr>
          <w:lang w:val="el" w:eastAsia="el"/>
        </w:rPr>
      </w:pPr>
      <w:r>
        <w:rPr>
          <w:b/>
          <w:bCs/>
          <w:lang w:val="el" w:eastAsia="el"/>
        </w:rPr>
        <w:t>2859/2000 (Α΄248) και συνεπώς οι Δωρούμενες Υπηρεσίες απαλλάσσονται από το φόρο προστιθέμενης αξίας (Φ.Π.Α.). Για την εφαρμογή της απαλλαγής της προαναφερθείσας διάταξης, τα φορολογικά στοιχεία θα εκδίδονται στο όνομα του Μουσείου τηρούμενης της διαδικασίας της απόφασης Α. 1050/2020 του Υφυπουργού Οικονομικών και του Διοικητή της Ανεξάρτητης Αρχής Δημοσίων Εσόδων (Β΄ 942). Οι Δωρητές θα εκπληρώνουν τις υποχρεώσεις του σύμφωνα με την απόφαση αυτή, είτε αυτοπροσώπως είτε μέσω εξουσιοδοτημένων προσώπων.</w:t>
      </w:r>
    </w:p>
    <w:p>
      <w:pPr>
        <w:spacing w:before="240" w:after="240"/>
        <w:rPr>
          <w:lang w:val="el" w:eastAsia="el"/>
        </w:rPr>
      </w:pPr>
      <w:r>
        <w:rPr>
          <w:b/>
          <w:bCs/>
          <w:lang w:val="el" w:eastAsia="el"/>
        </w:rPr>
        <w:t xml:space="preserve">2. </w:t>
      </w:r>
      <w:r>
        <w:rPr>
          <w:b/>
          <w:bCs/>
          <w:lang w:val="el" w:eastAsia="el"/>
        </w:rPr>
        <w:t>Τα συμφωνητικά του άρθρου 4 για την υλοποίηση και υποστήριξη του Έργου, συνάπτονται από το Μουσείο για λογαριασμό των Δωρητών και συνεπώς, δεν συνιστούν δημόσιες συμβάσεις. Η Σύμβαση, τα συμφωνητικά του άρθρου 4 και η εξόφληση των τιμολογίων του άρθρου 6 απαλλάσσονται από τα τέλη χαρτοσήμου και τον φόρο δωρεών. Τυχόν άλλοι φόροι, τέλη ή εισφορές σχετικά με τη Σύμβαση, δεν βαρύνουν τους Δωρητές.</w:t>
      </w:r>
    </w:p>
    <w:p>
      <w:pPr>
        <w:spacing w:before="240" w:after="240"/>
        <w:rPr>
          <w:lang w:val="el" w:eastAsia="el"/>
        </w:rPr>
      </w:pPr>
      <w:r>
        <w:rPr>
          <w:b/>
          <w:bCs/>
          <w:lang w:val="el" w:eastAsia="el"/>
        </w:rPr>
        <w:t xml:space="preserve">3. </w:t>
      </w:r>
      <w:r>
        <w:rPr>
          <w:b/>
          <w:bCs/>
          <w:lang w:val="el" w:eastAsia="el"/>
        </w:rPr>
        <w:t>Με την νομοθετική κύρωση της Σύμβασης, οι ρυθμίσεις των παρ. 1 και 2 αποκτούν ισχύ νόμου και δεν απαιτείται η έκδοση σχετικών αποφάσεων του Υπουργού Εθνικής Οικονομίας και Οικονομικών.»</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το άρθρο 4 του κοινοποιούμενου νόμου ορίζεται ότι η ισχύς του νόμου αυτού αρχίζει από τη 17η Απριλίου 2024, ημερομηνία κατά την οποία υπογράφηκε η κυρούμενη σύμβαση.</w:t>
      </w:r>
    </w:p>
    <w:p>
      <w:pPr>
        <w:spacing w:before="240" w:after="240"/>
        <w:rPr>
          <w:lang w:val="el" w:eastAsia="el"/>
        </w:rPr>
      </w:pPr>
      <w:r>
        <w:rPr>
          <w:b/>
          <w:bCs/>
          <w:lang w:val="el" w:eastAsia="el"/>
        </w:rPr>
        <w:t>Συνημμένα: Το ΦΕΚ Α΄67/16.05.2024 (ν. 5109/2024).</w:t>
      </w:r>
    </w:p>
    <w:p>
      <w:pPr>
        <w:spacing w:before="240" w:after="240"/>
        <w:rPr>
          <w:lang w:val="el" w:eastAsia="el"/>
        </w:rPr>
      </w:pPr>
      <w:r>
        <w:rPr>
          <w:b/>
          <w:bCs/>
          <w:lang w:val="el" w:eastAsia="el"/>
        </w:rPr>
        <w:t>Ο ΔΙΟΙΚΗΤΗΣΤΗΣ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Υπουργού Πολιτισμού</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Γεν. Γραμματέα Φορολογικής Πολιτικής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Αποδέκτες Πίνακα Δ’</w:t>
      </w:r>
    </w:p>
    <w:p>
      <w:pPr>
        <w:spacing w:before="240" w:after="240"/>
        <w:rPr>
          <w:lang w:val="el" w:eastAsia="el"/>
        </w:rPr>
      </w:pPr>
      <w:r>
        <w:rPr>
          <w:b/>
          <w:bCs/>
          <w:lang w:val="el" w:eastAsia="el"/>
        </w:rPr>
        <w:t xml:space="preserve">III. </w:t>
      </w:r>
      <w:r>
        <w:rPr>
          <w:b/>
          <w:bCs/>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de.gr" TargetMode="External" /><Relationship Id="rId5" Type="http://schemas.openxmlformats.org/officeDocument/2006/relationships/hyperlink" Target="mailto:deef@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