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26 Ιουλίου 2024</w:t>
      </w:r>
    </w:p>
    <w:p>
      <w:pPr>
        <w:pStyle w:val="PreambelText"/>
        <w:spacing w:before="240" w:after="240"/>
        <w:rPr>
          <w:lang w:val="el" w:eastAsia="el"/>
        </w:rPr>
      </w:pPr>
      <w:r>
        <w:rPr>
          <w:b/>
          <w:bCs/>
          <w:lang w:val="el" w:eastAsia="el"/>
        </w:rPr>
        <w:t>Ο.3033</w:t>
      </w:r>
    </w:p>
    <w:p>
      <w:pPr>
        <w:pStyle w:val="PreambelText"/>
        <w:spacing w:before="240" w:after="240"/>
        <w:rPr>
          <w:lang w:val="el" w:eastAsia="el"/>
        </w:rPr>
      </w:pP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ΤΜΗΜΑTA A΄, Β΄, Γ΄</w:t>
      </w:r>
    </w:p>
    <w:p>
      <w:pPr>
        <w:pStyle w:val="PreambelText"/>
        <w:spacing w:before="240" w:after="240"/>
        <w:rPr>
          <w:lang w:val="el" w:eastAsia="el"/>
        </w:rPr>
      </w:pPr>
      <w:r>
        <w:rPr>
          <w:b/>
          <w:bCs/>
          <w:lang w:val="el" w:eastAsia="el"/>
        </w:rPr>
        <w:t>Α΄109/19-07-2024)</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άρθρων 1-26 και 31 ν. 5123/2024</w:t>
      </w:r>
    </w:p>
    <w:p>
      <w:pPr>
        <w:pStyle w:val="enacting"/>
        <w:spacing w:before="120" w:after="0"/>
        <w:rPr>
          <w:lang w:val="el" w:eastAsia="el"/>
        </w:rPr>
      </w:pPr>
      <w:r>
        <w:rPr>
          <w:b/>
          <w:bCs/>
          <w:lang w:val="el" w:eastAsia="el"/>
        </w:rPr>
        <w:t>Β)ΠΕΡΙΕΧΟΜΕΝΟ</w:t>
      </w:r>
    </w:p>
    <w:p>
      <w:pPr>
        <w:pStyle w:val="PreambelText"/>
        <w:spacing w:before="240" w:after="240"/>
        <w:rPr>
          <w:lang w:val="el" w:eastAsia="el"/>
        </w:rPr>
      </w:pPr>
      <w:r>
        <w:rPr>
          <w:b/>
          <w:bCs/>
          <w:lang w:val="el" w:eastAsia="el"/>
        </w:rPr>
        <w:t>Κοινοποίηση των διατάξεων των κάτωθι άρθρων του ν. 5123/2024:</w:t>
      </w:r>
    </w:p>
    <w:p>
      <w:pPr>
        <w:pStyle w:val="PreambelText"/>
        <w:spacing w:before="240" w:after="240"/>
        <w:rPr>
          <w:lang w:val="el" w:eastAsia="el"/>
        </w:rPr>
      </w:pPr>
      <w:r>
        <w:rPr>
          <w:b/>
          <w:bCs/>
          <w:lang w:val="el" w:eastAsia="el"/>
        </w:rPr>
        <w:t>α)άρθρα 1 και 2 του Μέρους Α: «ΣΚΟΠΟΣ- ΑΝΤΙΚΕΙΜΕΝΟ»</w:t>
      </w:r>
    </w:p>
    <w:p>
      <w:pPr>
        <w:pStyle w:val="StructureList1"/>
        <w:spacing w:before="120" w:after="0"/>
        <w:rPr>
          <w:lang w:val="el" w:eastAsia="el"/>
        </w:rPr>
      </w:pPr>
      <w:r>
        <w:rPr>
          <w:lang w:val="el" w:eastAsia="el"/>
        </w:rPr>
        <w:t>β)</w:t>
      </w:r>
      <w:r>
        <w:rPr>
          <w:lang w:val="en" w:eastAsia="en"/>
        </w:rPr>
        <w:tab/>
      </w:r>
      <w:r>
        <w:rPr>
          <w:b/>
          <w:bCs/>
          <w:lang w:val="el" w:eastAsia="el"/>
        </w:rPr>
        <w:t>άρθρα 3 – 26 του Μέρους Β: «ΕΚΣΥΓΧΡΟΝΙΣΜΟΣ ΘΕΣΜΙΚΟΥ ΠΛΑΙΣΙΟΥ ΓΙΑ ΤΟ ΕΝΕΧΥΡΟ»</w:t>
      </w:r>
    </w:p>
    <w:p>
      <w:pPr>
        <w:pStyle w:val="StructureList1"/>
        <w:spacing w:before="120" w:after="0"/>
        <w:rPr>
          <w:lang w:val="el" w:eastAsia="el"/>
        </w:rPr>
      </w:pPr>
      <w:r>
        <w:rPr>
          <w:lang w:val="el" w:eastAsia="el"/>
        </w:rPr>
        <w:t>γ)</w:t>
      </w:r>
      <w:r>
        <w:rPr>
          <w:lang w:val="en" w:eastAsia="en"/>
        </w:rPr>
        <w:tab/>
      </w:r>
      <w:r>
        <w:rPr>
          <w:b/>
          <w:bCs/>
          <w:lang w:val="el" w:eastAsia="el"/>
        </w:rPr>
        <w:t>άρθρο 31 του Μέρους Δ: «ΕΝΑΡΞΗ ΙΣΧΥΟΣ»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Οι διατάξεις του κοινοποιούμενου νόμου εφαρμόζονται για την εξασφάλιση: α) χρηματικών και μη απαιτήσεων, β) απαιτήσεων από συμβάσεις που διέπονται από το ιδιωτικό δίκαιο, στις οποίες συμβαλλόμενο είναι το ελληνικό δημόσιο, φορείς της Γενικής Κυβέρνησης, όπως αυτή ορίζεται στην περ. β΄ της παρ. 1 του άρθρου 14 του ν. 4270/2014 (Α΄ 143), και τα νομικά πρόσωπα δημοσίου δικαίου που δεν εντάσσονται στους φορείς της Γενικής Κυβέρνησης.</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1-26 και 31 του ν. 5123/2024, ως εξής:</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«ΣΚΟΠΟΣ- ΑΝΤΙΚΕΙΜΕΝΟ»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»ΕΚΣΥΓΧΡΟΝΙΣΜΟΣ ΘΕΣΜΙΚΟΥ ΠΛΑΙΣΙΟΥ ΓΙΑ ΤΟ ΕΝΕΧΥΡΟ»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 - ΟΡΙΣΜΟΙ</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Σύμφωνα με το άρθρο 3 του κοινοποιούμενου νόμου, οι διατάξεις του εφαρμόζονται για την εξασφάλιση: α) χρηματικών και μη απαιτήσεων, β) απαιτήσεων από συμβάσεις που διέπονται από το ιδιωτικό δίκαιο, στις οποίες συμβαλλόμενο είναι το ελληνικό δημόσιο, φορείς της Γενικής Κυβέρνησης, όπως αυτή ορίζεται στην περ. β΄ της παρ. 1 του άρθρου 14 του ν. 4270/2014 (Α΄ 143), και τα νομικά πρόσωπα δημοσίου δικαίου που δεν εντάσσονται στους φορείς της Γενικής Κυβέρνησης.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«Ορισμοί»</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ΕΝΕΧΥΡΟ ΕΠΙ ΑΠΑΙΤΗΣΕΩΝ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«Ενέχυρο σε δικαίωμα ή απαίτηση – Συστατικός τύπος – Έκταση»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«Γνωστοποίηση στον οφειλέτη»</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«Έναρξη αποτελεσμάτων»</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«Καταβολή και ελευθέρωση του οφειλέτη»</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«Ικανοποίηση ενεχυρούχου δανειστή»</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«Καταπιστευτική εκχώρηση απαίτησης»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ΕΝΕΧΥΡΟ ΕΠΙ ΟΝΟΜΑΣΤΙΚΩΝ ΤΙΤΛΩΝ</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«Ενέχυρο σε ονομαστικές μετοχές»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«Ενέχυρο σε λοιπές μορφές εταιρικών συμμετοχών»</w:t>
      </w:r>
    </w:p>
    <w:p>
      <w:pPr>
        <w:spacing w:before="240" w:after="240"/>
        <w:rPr>
          <w:lang w:val="el" w:eastAsia="el"/>
        </w:rPr>
      </w:pPr>
      <w:r>
        <w:rPr>
          <w:b/>
          <w:bCs/>
          <w:lang w:val="el" w:eastAsia="el"/>
        </w:rPr>
        <w:t>KΕΦΑΛΑΙΟ Δ΄</w:t>
      </w:r>
    </w:p>
    <w:p>
      <w:pPr>
        <w:spacing w:before="240" w:after="240"/>
        <w:rPr>
          <w:lang w:val="el" w:eastAsia="el"/>
        </w:rPr>
      </w:pPr>
      <w:r>
        <w:rPr>
          <w:b/>
          <w:bCs/>
          <w:lang w:val="el" w:eastAsia="el"/>
        </w:rPr>
        <w:t>ΕΝΕΧΥΡΟ ΕΠΙ ΚΙΝΗΤΩΝ ΧΩΡΙΣ ΠΑΡΑΔΟΣΗ ΤΗΣ ΚΑΤΟΧΗΣ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«Πλασματικό ενέχυρο κινητών»</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«Ενέχυρο κινητών αξιών»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ΗΛΕΚΤΡΟΝΙΚΟ ΜΗΤΡΩΟ ΕΝΕΧΥΡΩΝ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«Σύσταση Ηλεκτρονικού Μητρώου Ενεχύρων – Φορέας Διαχείρισης και Λειτουργίας»</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«Αρχές λειτουργίας του Ηλεκτρονικού Μητρώου Ενεχύρων – Υποχρεώσεις του Φορέα Διαχείρισης και Λειτουργίας»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«Αντικείμενο του Ηλεκτρονικού Μητρώου Ενεχύρων – Προς εγγραφή πράξεις – Υποχρεωτικές εγγραφές»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«Ηλεκτρονικά Βιβλία του Ηλεκτρονικού Μητρώου Ενεχύρων – Δημοσιότητα»</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«Υποβολή προς εγγραφή πράξεων στο Ηλεκτρονικό Μητρώο Ενεχύρων – Δικαιολογητικά»</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«Έλεγχος των προς εγγραφή πράξεων και δικαιολογητικών»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«Ενημέρωση και έρευνα στη βάση δεδομένων του Ηλεκτρονικού Μητρώου Ενεχύρων»</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«Τέλη»</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«Τελικές διατάξεις – Τροποποίηση παρ. 2 άρθρου 3 ν. 3301/2004»</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«Εξουσιοδοτικές διατάξεις»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b/>
          <w:bCs/>
          <w:lang w:val="el" w:eastAsia="el"/>
        </w:rPr>
        <w:t>Με το άρθρο 25 του κοινοποιούμενου νόμου ορίζεται ότι ενέχυρα που συστήθηκαν μέχρι την έναρξη ισχύος του δυνάμει των καταργούμενων διατάξεων του άρθρου 26 του ίδιου νόμου διατηρούνται και διέπονται από τις καταργούμενες διατάξεις.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Με το άρθρο 26 του κοινοποιούμενου νόμου ορίζεται ότι από την έναρξη ισχύος του καταργούνται:</w:t>
      </w:r>
    </w:p>
    <w:p>
      <w:pPr>
        <w:pStyle w:val="StructureList1"/>
        <w:spacing w:before="120" w:after="0"/>
        <w:rPr>
          <w:lang w:val="el" w:eastAsia="el"/>
        </w:rPr>
      </w:pPr>
      <w:r>
        <w:rPr>
          <w:lang w:val="el" w:eastAsia="el"/>
        </w:rPr>
        <w:t>α)</w:t>
      </w:r>
      <w:r>
        <w:rPr>
          <w:lang w:val="en" w:eastAsia="en"/>
        </w:rPr>
        <w:tab/>
      </w:r>
      <w:r>
        <w:rPr>
          <w:b/>
          <w:bCs/>
          <w:lang w:val="el" w:eastAsia="el"/>
        </w:rPr>
        <w:t>Τα άρθρα 1244, περί ενεχύρου σε ανώνυμους τίτλους, 1247, περί ενεχύρου σε δικαίωμα και 1248, περί ενεχύρου απαιτήσεως, του Αστικού Κώδικα.</w:t>
      </w:r>
    </w:p>
    <w:p>
      <w:pPr>
        <w:pStyle w:val="StructureList1"/>
        <w:spacing w:before="120" w:after="0"/>
        <w:rPr>
          <w:lang w:val="el" w:eastAsia="el"/>
        </w:rPr>
      </w:pPr>
      <w:r>
        <w:rPr>
          <w:lang w:val="el" w:eastAsia="el"/>
        </w:rPr>
        <w:t>β)</w:t>
      </w:r>
      <w:r>
        <w:rPr>
          <w:lang w:val="en" w:eastAsia="en"/>
        </w:rPr>
        <w:tab/>
      </w:r>
      <w:r>
        <w:rPr>
          <w:b/>
          <w:bCs/>
          <w:lang w:val="el" w:eastAsia="el"/>
        </w:rPr>
        <w:t>Το άρθρο 36, περί σύστασης ενεχύρου, του από 17.7-13.8.1923 νομοθετικού διατάγματος (Α΄ 224), περί ειδικών διατάξεων επί ανωνύμων εταιρειών.</w:t>
      </w:r>
    </w:p>
    <w:p>
      <w:pPr>
        <w:pStyle w:val="StructureList1"/>
        <w:spacing w:before="120" w:after="0"/>
        <w:rPr>
          <w:lang w:val="el" w:eastAsia="el"/>
        </w:rPr>
      </w:pPr>
      <w:r>
        <w:rPr>
          <w:lang w:val="el" w:eastAsia="el"/>
        </w:rPr>
        <w:t>γ)</w:t>
      </w:r>
      <w:r>
        <w:rPr>
          <w:lang w:val="en" w:eastAsia="en"/>
        </w:rPr>
        <w:tab/>
      </w:r>
      <w:r>
        <w:rPr>
          <w:b/>
          <w:bCs/>
          <w:lang w:val="el" w:eastAsia="el"/>
        </w:rPr>
        <w:t>Η παρ. 1 του άρθρου 2, περί κατάσχεσης ονομαστικών μετοχών, και το άρθρο 3, περί ενεχύρου επί ονομαστικών μετοχών, του α.ν. 1818/1951 (Α΄ 149), περί ενεχύρου επί ονομαστικών μετοχών.</w:t>
      </w:r>
    </w:p>
    <w:p>
      <w:pPr>
        <w:pStyle w:val="StructureList1"/>
        <w:spacing w:before="120" w:after="0"/>
        <w:rPr>
          <w:lang w:val="el" w:eastAsia="el"/>
        </w:rPr>
      </w:pPr>
      <w:r>
        <w:rPr>
          <w:lang w:val="el" w:eastAsia="el"/>
        </w:rPr>
        <w:t>δ)</w:t>
      </w:r>
      <w:r>
        <w:rPr>
          <w:lang w:val="en" w:eastAsia="en"/>
        </w:rPr>
        <w:tab/>
      </w:r>
      <w:r>
        <w:rPr>
          <w:b/>
          <w:bCs/>
          <w:lang w:val="el" w:eastAsia="el"/>
        </w:rPr>
        <w:t>Οι κανονιστικές πράξεις που έχουν εκδοθεί κατ’ εξουσιοδότηση των καταργούμενων περ. α), β) και γ).</w:t>
      </w:r>
    </w:p>
    <w:p>
      <w:pPr>
        <w:pStyle w:val="StructureList1"/>
        <w:spacing w:before="120" w:after="0"/>
        <w:rPr>
          <w:lang w:val="el" w:eastAsia="el"/>
        </w:rPr>
      </w:pPr>
      <w:r>
        <w:rPr>
          <w:lang w:val="el" w:eastAsia="el"/>
        </w:rPr>
        <w:t>ε)</w:t>
      </w:r>
      <w:r>
        <w:rPr>
          <w:lang w:val="en" w:eastAsia="en"/>
        </w:rPr>
        <w:tab/>
      </w:r>
      <w:r>
        <w:rPr>
          <w:b/>
          <w:bCs/>
          <w:lang w:val="el" w:eastAsia="el"/>
        </w:rPr>
        <w:t>Οι υπ’ αρ. 20783/9.11.2020 (Β΄ 4944), περί καθορισμού του εντύπου σύμβασης πώλησης και μεταβίβασης επιχειρηματικών απαιτήσεων, και 161337/18.11.2003 (Β΄ 1688), περί καθορισμού του εντύπου σύμβασης διαχείρισης επιχειρηματικών απαιτήσεων, αποφάσεις του Υπουργού Δικαιοσύνης.</w:t>
      </w:r>
    </w:p>
    <w:p>
      <w:pPr>
        <w:pStyle w:val="StructureList1"/>
        <w:spacing w:before="120" w:after="0"/>
        <w:rPr>
          <w:lang w:val="el" w:eastAsia="el"/>
        </w:rPr>
      </w:pPr>
      <w:r>
        <w:rPr>
          <w:lang w:val="el" w:eastAsia="el"/>
        </w:rPr>
        <w:t>στ)</w:t>
      </w:r>
      <w:r>
        <w:rPr>
          <w:lang w:val="en" w:eastAsia="en"/>
        </w:rPr>
        <w:tab/>
      </w:r>
      <w:r>
        <w:rPr>
          <w:b/>
          <w:bCs/>
          <w:lang w:val="el" w:eastAsia="el"/>
        </w:rPr>
        <w:t>Τα άρθρα 1, περί σύστασης ενεχύρου, 3, περί δημοσίευσης, 4, περί διάρκειας, 5, περί μεταβολών, 10, περί άλλων συμβάσεων παροχής ασφάλειας επί κινητών, 11, περί ενεχύρασης ή εκχώρησης επιχειρηματικών απαιτήσεων η άλλων δικαιωμάτων, οι παρ. 1 και 2 του άρθρου</w:t>
      </w:r>
    </w:p>
    <w:p>
      <w:pPr>
        <w:spacing w:before="240" w:after="240"/>
        <w:rPr>
          <w:lang w:val="el" w:eastAsia="el"/>
        </w:rPr>
      </w:pPr>
      <w:r>
        <w:rPr>
          <w:b/>
          <w:bCs/>
          <w:lang w:val="el" w:eastAsia="el"/>
        </w:rPr>
        <w:t>13, περί ενέργειας της ενεχύρασης και της εκχώρησης, 14, περί συμπληρωματικής και ανάλογης εφαρμογής, και 15, περί ενεχύρασης και μεταβίβασης άλλων δικαιωμάτων, του ν. 2844/2000 (Α΄ 220).</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την παρ. 1 του άρθρου 31 του κοινοποιούμενου νόμου ορίζεται ότι η ισχύς των Μερών Α΄ και Β΄ αρχίζει από τη δημοσίευση της απόφασης της παρ. 1 του άρθρου 24, περί έναρξης της παραγωγικής λειτουργίας του Ηλεκτρονικού Μητρώου Ενεχύρων, άλλως την 31η Δεκεμβρίου 2024.</w:t>
      </w:r>
    </w:p>
    <w:p>
      <w:pPr>
        <w:spacing w:before="240" w:after="240"/>
        <w:rPr>
          <w:lang w:val="el" w:eastAsia="el"/>
        </w:rPr>
      </w:pPr>
      <w:r>
        <w:rPr>
          <w:b/>
          <w:bCs/>
          <w:lang w:val="el" w:eastAsia="el"/>
        </w:rPr>
        <w:t>Συνημμένο: Απόσπασμα του ΦΕΚ Α΄109/19-7-2024: άρθρα 1-26 και 31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 Β’, 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