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6Ψ7Ξ46ΜΠ3Ζ-4ΟΥ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02 Αυγούστου 2024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Ο.3038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Σμύρνης 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177 78 Ταύρος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2131411057,213411038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registry@ 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της υπ’ αριθμ. πρωτ 64419/21.02.2024 (ΑΔΑ:90Ι346ΜΔΨΟ-89Β) απόφασης του Υπουργού Μετανάστευσης και Ασύλου με τίτλο "Παράταση ισχύος της υπ’ αρ 131035/04.03.2022 Απόφασης του Υπουργού Μετανάστευσης και Ασύλου «Εφαρμογή προσωρινής προστασίας του π.δ. 80/2006 λόγω μαζικής εισροής εκτοπισθέντων από Ουκρανία» (ΑΔΑ: ΡΠ1146ΜΔΨΟ-ΩΙ4)”»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ΠΕΡΙΛΗΨΗ ΟΔΗΓΙΑΣ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ΑΝΤΙΚΕΙΜΕΝΟ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της υπ’ αριθμ. πρωτ 64419/21.02.2024 (ΑΔΑ:90Ι346ΜΔΨΟ-89Β) απόφασης του Υπουργού Μετανάστευσης και Ασύλου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της υπ’ αριθμ. πρωτ 64419/21.02.2024 (ΑΔΑ:90Ι346ΜΔΨΟ-89Β) απόφασης του Υπουργού Μετανάστευσης και Ασύλου με τίτλο "Παράταση ισχύος της υπ’ αρ. 131035/04.03.2022 Απόφασης του Υπουργού Μετανάστευσης και Ασύλου «Εφαρμογή προσωρινής προστασίας του π.δ. 80/2006 λόγω μαζικής εισροής εκτοπισθέντων από Ουκρανία» (ΑΔΑ: ΡΠ1146ΜΔΨΟ-ΩΙ4)”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οδηγία αφορά σε εκτοπισθέντες από Ουκρανία στους οποίους παρέχεται προσωρινή προστασία.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Σας κοινοποιούμε συνημμένα την υπ’ αριθμ. πρωτ. 64419/21.02.2024 (ΑΔΑ: 90I346ΜΔΨΟ-89Β) απόφαση του Υπουργού Μετανάστευσης και Ασύλου με τίτλο "Παράταση ισχύος της υπ’ αρ 131035/04.03.2022 Απόφασης του Υπουργού Μετανάστευσης και Ασύλου «Εφαρμογή προσωρινής προστασίας του π.δ. 80/2006 λόγω μαζικής εισροής εκτοπισθέντων από Ουκρανία» (ΑΔΑ: ΡΠ1146ΜΔΨΟ-ΩΙ4)” με την οποία η διάρκεια ισχύος των Αδειών Διαμονής Προσωρινής Προστασίας παρατείνεται έως τις 4 Μαρτίου 2025.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υπ’ αρ. πρωτ. 64419/21.02.2024 (ΑΔΑ: 90I346ΜΔΨΟ-89Β) απόφαση του Υπουργού Μετανάστευσης και Ασύλου. (Σελ. 4)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Δημόσιες Οικονομικές Υπηρεσίες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Γ.Ε.Φ. (μέσω των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ΚΕΦΟΔΕ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ΥΦΕ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Γενική Γραμματεία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Αποδέκτες Πίνακα Α΄ (εκτός των αριθ. 2,3 και 4 αυτού)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» »Β΄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» »Γ΄ (εκτός του αριθ. 7 αυτού)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» »Δ΄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» »Ε΄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» »ΣΤ΄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Όλες οι Διευθύνσεις της ΓΔΦΛ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Διεύθυνση Εξυπηρέτησης/Τμήμα Ζ’/ΤΜΗΜΑ Η’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gistry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