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 Β΄,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2131411106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dideisep@aade.gr</w:t>
              </w:r>
            </w:hyperlink>
          </w:p>
        </w:tc>
      </w:tr>
    </w:tbl>
    <w:p>
      <w:pPr>
        <w:pStyle w:val="PreambelText"/>
        <w:spacing w:before="240" w:after="240"/>
        <w:rPr>
          <w:lang w:val="el" w:eastAsia="el"/>
        </w:rPr>
      </w:pPr>
      <w:r>
        <w:rPr>
          <w:b/>
          <w:bCs/>
          <w:lang w:val="el" w:eastAsia="el"/>
        </w:rPr>
        <w:t>ΘΕΜΑ: Κοινοποίηση των διατάξεων των άρθρων 31, 43 και 53 του ν. 5130/2024 «Ενίσχυση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 (Α΄127/1.8.2024)</w:t>
      </w:r>
    </w:p>
    <w:p>
      <w:pPr>
        <w:pStyle w:val="enacting"/>
        <w:spacing w:before="120" w:after="0"/>
        <w:rPr>
          <w:lang w:val="el" w:eastAsia="el"/>
        </w:rPr>
      </w:pPr>
      <w:r>
        <w:rPr>
          <w:b/>
          <w:bCs/>
          <w:lang w:val="el" w:eastAsia="el"/>
        </w:rPr>
        <w:t>ΠΕΡΙΛΗΨΗΑ) ΑΝΤΙΚΕΙΜΕΝΟ</w:t>
      </w:r>
    </w:p>
    <w:p>
      <w:pPr>
        <w:pStyle w:val="PreambelText"/>
        <w:spacing w:before="240" w:after="240"/>
        <w:rPr>
          <w:lang w:val="el" w:eastAsia="el"/>
        </w:rPr>
      </w:pPr>
      <w:r>
        <w:rPr>
          <w:b/>
          <w:bCs/>
          <w:lang w:val="el" w:eastAsia="el"/>
        </w:rPr>
        <w:t>Κοινοποίηση των διατάξεων των άρθρων 31, 43 και 53 του ν. 5130/2024</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5130/2024:</w:t>
      </w:r>
    </w:p>
    <w:p>
      <w:pPr>
        <w:pStyle w:val="PreambelText"/>
        <w:spacing w:before="240" w:after="240"/>
        <w:rPr>
          <w:lang w:val="el" w:eastAsia="el"/>
        </w:rPr>
      </w:pPr>
      <w:r>
        <w:rPr>
          <w:lang w:val="el" w:eastAsia="el"/>
        </w:rPr>
        <w:t xml:space="preserve">1. </w:t>
      </w:r>
      <w:r>
        <w:rPr>
          <w:b/>
          <w:bCs/>
          <w:lang w:val="el" w:eastAsia="el"/>
        </w:rPr>
        <w:t>του άρθρου 31: «Είσπραξη δικαστικού παραβόλου που επιδικάζεται με δικαστική απόφαση»</w:t>
      </w:r>
    </w:p>
    <w:p>
      <w:pPr>
        <w:pStyle w:val="PreambelText"/>
        <w:spacing w:before="240" w:after="240"/>
        <w:rPr>
          <w:lang w:val="el" w:eastAsia="el"/>
        </w:rPr>
      </w:pPr>
      <w:r>
        <w:rPr>
          <w:lang w:val="el" w:eastAsia="el"/>
        </w:rPr>
        <w:t xml:space="preserve">2. </w:t>
      </w:r>
      <w:r>
        <w:rPr>
          <w:b/>
          <w:bCs/>
          <w:lang w:val="el" w:eastAsia="el"/>
        </w:rPr>
        <w:t>του άρθρου 43: «Αρμόδιος εισαγγελικός λειτουργός για τη διενέργεια προκαταρκτικής εξέτασης για πράξεις ή παραλείψεις μελών προσωρινής διοίκησης εταιρείας που έχει οριστεί μετά από αίτηση της Επιτροπής Κεφαλαιαγοράς - Τροποποίηση παρ. 5 άρθρου 40 ν. 4640/2019»</w:t>
      </w:r>
    </w:p>
    <w:p>
      <w:pPr>
        <w:pStyle w:val="PreambelText"/>
        <w:spacing w:before="240" w:after="240"/>
        <w:rPr>
          <w:lang w:val="el" w:eastAsia="el"/>
        </w:rPr>
      </w:pPr>
      <w:r>
        <w:rPr>
          <w:lang w:val="el" w:eastAsia="el"/>
        </w:rPr>
        <w:t xml:space="preserve">3. </w:t>
      </w:r>
      <w:r>
        <w:rPr>
          <w:b/>
          <w:bCs/>
          <w:lang w:val="el" w:eastAsia="el"/>
        </w:rPr>
        <w:t>της παρ. 1 του άρθρου 53: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31 αφορά τις δικαστικές αποφάσεις με τις οποίες διατάσσεται η καταβολή ποσού παραβόλου.</w:t>
      </w:r>
    </w:p>
    <w:p>
      <w:pPr>
        <w:pStyle w:val="PreambelText"/>
        <w:spacing w:before="240" w:after="240"/>
        <w:rPr>
          <w:lang w:val="el" w:eastAsia="el"/>
        </w:rPr>
      </w:pPr>
      <w:r>
        <w:rPr>
          <w:lang w:val="el" w:eastAsia="el"/>
        </w:rPr>
        <w:t xml:space="preserve">2. </w:t>
      </w:r>
      <w:r>
        <w:rPr>
          <w:b/>
          <w:bCs/>
          <w:lang w:val="el" w:eastAsia="el"/>
        </w:rPr>
        <w:t>Το άρθρο 43 αφορά τη διενέργεια προκαταρκτικής εξέτασης για πράξεις ή παραλείψεις μελών προσωρινής διοίκησης εταιρείας που έχει οριστεί μετά από αίτηση της Επιτροπής Κεφαλαιαγοράς.</w:t>
      </w:r>
    </w:p>
    <w:p>
      <w:pPr>
        <w:pStyle w:val="PreambelText"/>
        <w:spacing w:before="240" w:after="240"/>
        <w:rPr>
          <w:lang w:val="el" w:eastAsia="el"/>
        </w:rPr>
      </w:pPr>
      <w:r>
        <w:rPr>
          <w:lang w:val="el" w:eastAsia="el"/>
        </w:rPr>
        <w:t xml:space="preserve">3. </w:t>
      </w:r>
      <w:r>
        <w:rPr>
          <w:b/>
          <w:bCs/>
          <w:lang w:val="el" w:eastAsia="el"/>
        </w:rPr>
        <w:t>Το άρθρο 53 αφορά 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31, 43 και 53 του ν. 5130/2024, ως ακολούθως:</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«Είσπραξη δικαστικού παραβόλου που επιδικάζεται με δικαστική απόφαση»</w:t>
      </w:r>
    </w:p>
    <w:p>
      <w:pPr>
        <w:spacing w:before="240" w:after="240"/>
        <w:rPr>
          <w:lang w:val="el" w:eastAsia="el"/>
        </w:rPr>
      </w:pPr>
      <w:r>
        <w:rPr>
          <w:b/>
          <w:bCs/>
          <w:lang w:val="el" w:eastAsia="el"/>
        </w:rPr>
        <w:t>Με την παρ. 1 του άρθρου 31 του κοινοποιούμενου νόμου ορίζεται ότι οι δικαστικές αποφάσεις με τις οποίες διατάσσεται η καταβολή ποσού παραβόλου αποτελούν νόμιμο τίτλο, κατά την παρ. 4 του άρθρου 2 του Κώδικα Είσπραξης Δημοσίων Εσόδων (ν. 4978/2022, Α’ 190), και διαβιβάζονται με μέριμνα των Δικαστηρίων στην Ανεξάρτητη Αρχή Δημοσίων Εσόδων, προκειμένου να γίνει η είσπραξη του επιδικαζόμενου ποσού, σύμφωνα με όσα ορίζονται στην παρ. 5 του άρθρου 2 του ως άνω Κώδικα.</w:t>
      </w:r>
    </w:p>
    <w:p>
      <w:pPr>
        <w:spacing w:before="240" w:after="240"/>
        <w:rPr>
          <w:lang w:val="el" w:eastAsia="el"/>
        </w:rPr>
      </w:pPr>
      <w:r>
        <w:rPr>
          <w:b/>
          <w:bCs/>
          <w:lang w:val="el" w:eastAsia="el"/>
        </w:rPr>
        <w:t>Σύμφωνα με την παρ. 2 του άρθρου 31 του κοινοποιούμενου νόμου, η παρ. 1 του άρθρου αυτού εφαρμόζεται για δικαστικές αποφάσεις που έχουν δημοσιευθεί μετά από την 23η Ιουνίου 2022.</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«Αρμόδιος εισαγγελικός λειτουργός για τη διενέργεια προκαταρκτικής εξέτασης για πράξεις ή παραλείψεις μελών προσωρινής διοίκησης εταιρείας που έχει οριστεί μετά από αίτηση της Επιτροπής Κεφαλαιαγοράς - Τροποποίηση παρ. 5 άρθρου 40 ν. 4640/2019»</w:t>
      </w:r>
    </w:p>
    <w:p>
      <w:pPr>
        <w:spacing w:before="240" w:after="240"/>
        <w:rPr>
          <w:lang w:val="el" w:eastAsia="el"/>
        </w:rPr>
      </w:pPr>
      <w:r>
        <w:rPr>
          <w:b/>
          <w:bCs/>
          <w:lang w:val="el" w:eastAsia="el"/>
        </w:rPr>
        <w:t>Με το άρθρο 43 του κοινοποιούμενου νόμου επήλθαν οι ακόλουθες τροποποιήσεις στο έκτο εδάφιο της παρ. 5 του άρθρου 40 του ν. 4640/2019 (Α’ 190), περί της ευθύνης των μελών προσωρινής διοίκησης εταιρείας που έχει οριστεί μετά από αίτηση της Επιτροπής Κεφαλαιαγοράς: α) οι λέξεις «Σε κάθε περίπτωση μήνυσης, έγκλησης, καταγγελίας ή αναφοράς για πράξεις ή παραλείψεις των μελών του Διοικητικού Συμβουλίου» αντικαταστάθηκαν από τις λέξεις «Σε περίπτωση υποβολής μήνυσης ή έγκλησης που στρέφεται κατά των μελών του Διοικητικού Συμβουλίου», β) προστέθηκαν οι λέξεις «για πράξη ή παράλειψη», γ) οι λέξεις «επιλαμβάνεται ο Εισαγγελέας του Αρείου Πάγου αυτοπροσώπως, ο οποίος, αν κρίνει ότι τα παραπάνω χρήζουν προκαταρκτικής εξέτασης, την εκτελεί αυτοπροσώπως ή την αναθέτει σε έναν εκ των Αντιεισαγγελέων του Αρείου Πάγου» αντικαταστάθηκαν από τις λέξεις «αποκλειστικά αρμόδιος για τη διενέργεια της προκαταρκτικής εξέτασης, εφόσον το κρίνει αναγκαίο, καθίσταται ο Εισαγγελέας Εφετών Αθηνών» και η παρ. 5 διαμορφώθηκε ως εξής:</w:t>
      </w:r>
    </w:p>
    <w:p>
      <w:pPr>
        <w:spacing w:before="240" w:after="240"/>
        <w:rPr>
          <w:lang w:val="el" w:eastAsia="el"/>
        </w:rPr>
      </w:pPr>
      <w:r>
        <w:rPr>
          <w:b/>
          <w:bCs/>
          <w:lang w:val="el" w:eastAsia="el"/>
        </w:rPr>
        <w:t>«5. Τα μέλη του Διοικητικού Συμβουλίου που διορίζονται ή εκλέγονται σύμφωνα με την παρ. 2, από την ημέρα του διορισμού τους, δεν υπέχουν αστική ευθύνη για πράξεις ή παραλείψεις κατά τη διάρκεια της θητείας τους, ως είτε μέλη του Διοικητικού Συμβουλίου είτε οποιασδήποτε επιτροπής αυτού, παρά μόνον για δόλο ή βαρεία αμέλεια. Οι διατάξεις του άρθρου 50 του ν. 4174/2013 (Α’ 170) εφαρμόζονται και στην περίπτωση ορισμού ή εκλογής προσωρινής διοίκησης σύμφωνα με την παρ. 2, με την προϋπόθεση ότι οι οφειλές της παρ. 1 του άρθρου 50 του ν. 4174/2013 γεννήθηκαν και κατέστησαν ληξιπρόθεσμες κατά τη διάρκεια της θητείας των ανωτέρω προσώπων και δεν καταβλήθηκαν ή δεν αποδόθηκαν στο Δημόσιο από δόλο ή βαρεία αμέλειά τους. Σε περίπτωση που οι εν λόγω φορολογικές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w:t>
      </w:r>
    </w:p>
    <w:p>
      <w:pPr>
        <w:spacing w:before="240" w:after="240"/>
        <w:rPr>
          <w:lang w:val="el" w:eastAsia="el"/>
        </w:rPr>
      </w:pPr>
      <w:r>
        <w:rPr>
          <w:b/>
          <w:bCs/>
          <w:lang w:val="el" w:eastAsia="el"/>
        </w:rPr>
        <w:t>Οι διατάξεις του άρθρου 31 του ν. 4321/2015 (Α’ 32) εφαρμόζονται και στην περίπτωση ορισμού ή εκλογής προσωρινής διοίκησης, σύμφωνα με την παρ. 2, με την προϋπόθεση ότι οι οφειλές της παρ. 1 του άρθρου 31 του ν. 4321/2015 γεννήθηκαν και κατέστησαν ληξιπρόθεσμες κατά τη διάρκεια της θητείας των ανωτέρω προσώπων και δεν καταβλήθηκαν ή δεν αποδόθηκαν στους Φορείς Κοινωνικής Ασφάλισης από δόλο ή βαρεία αμέλειά τους. Σε περίπτωση που οι εν λόγω ασφαλιστικές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w:t>
      </w:r>
    </w:p>
    <w:p>
      <w:pPr>
        <w:spacing w:before="240" w:after="240"/>
        <w:rPr>
          <w:lang w:val="el" w:eastAsia="el"/>
        </w:rPr>
      </w:pPr>
      <w:r>
        <w:rPr>
          <w:b/>
          <w:bCs/>
          <w:lang w:val="el" w:eastAsia="el"/>
        </w:rPr>
        <w:t>Σε περίπτωση υποβολής μήνυσης ή έγκλησης που στρέφεται κατά των μελών του Διοικητικού Συμβουλίου που διορίζονται ή εκλέγονται σύμφωνα με την παρ. 2, για πράξη ή παράλειψη κατά την άσκηση των καθηκόντων τους, αποκλειστικά αρμόδιος για τη διενέργεια της προκαταρκτικής εξέτασης, εφόσον το κρίνει αναγκαίο, καθίσταται ο Εισαγγελέας Εφετών Αθηνών.»</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Σύμφωνα με την παρ. 1 του άρθρου 53 του κοινοποιούμενου νόμου, η ισχύς αυτού, με την επιφύλαξη των οριζομένων στην παρ. 2, αρχίζει από τη δημοσίευση του νόμου στην Εφημερίδα της Κυβερνήσεως, ήτοι από την 1η Αυγούστου 2024, εκτός αν άλλως ορίζεται σε επιμέρους διατάξεις.</w:t>
      </w:r>
    </w:p>
    <w:p>
      <w:pPr>
        <w:spacing w:before="240" w:after="240"/>
        <w:rPr>
          <w:lang w:val="el" w:eastAsia="el"/>
        </w:rPr>
      </w:pPr>
      <w:r>
        <w:rPr>
          <w:b/>
          <w:bCs/>
          <w:lang w:val="el" w:eastAsia="el"/>
        </w:rPr>
        <w:t>Συνημμένα: Απόσπασμα του ΦΕΚ Α΄127/01.08.2024: άρθρα 31, 43 και 53 του ν. 5130/2024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α.α.</w:t>
      </w:r>
    </w:p>
    <w:p>
      <w:pPr>
        <w:spacing w:before="240" w:after="240"/>
        <w:rPr>
          <w:lang w:val="el" w:eastAsia="el"/>
        </w:rPr>
      </w:pPr>
      <w:r>
        <w:rPr>
          <w:b/>
          <w:bCs/>
          <w:lang w:val="el" w:eastAsia="el"/>
        </w:rPr>
        <w:t xml:space="preserve">ΕΥΘΥΜΙΟΣ ΣΑΪΤΗΣ(βάσει της υπό στοιχεία ΔΔΑΔ Γ 1092425 ΕΞ </w:t>
      </w:r>
    </w:p>
    <w:p>
      <w:pPr>
        <w:spacing w:before="240" w:after="240"/>
        <w:rPr>
          <w:lang w:val="el" w:eastAsia="el"/>
        </w:rPr>
      </w:pPr>
      <w:r>
        <w:rPr>
          <w:b/>
          <w:bCs/>
          <w:lang w:val="el" w:eastAsia="el"/>
        </w:rPr>
        <w:t>2024/12-8-2024απόφασης του Διοικητή Α.Α.Δ.Ε.)</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