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ΓΕΝΙΚΗ ΔΙΕΥΘΥΝΣΗ ΦΟΡΟΛΟΓΙΑΣ</w:t>
      </w:r>
    </w:p>
    <w:p>
      <w:pPr>
        <w:pStyle w:val="PreambelText"/>
        <w:spacing w:before="240" w:after="240"/>
        <w:rPr>
          <w:lang w:val="el" w:eastAsia="el"/>
        </w:rPr>
      </w:pPr>
      <w:r>
        <w:rPr>
          <w:lang w:val="el" w:eastAsia="el"/>
        </w:rPr>
        <w:t xml:space="preserve">I. </w:t>
      </w:r>
      <w:r>
        <w:rPr>
          <w:b/>
          <w:bCs/>
          <w:lang w:val="el" w:eastAsia="el"/>
        </w:rPr>
        <w:t>ΔΙΕΥΘΥΝΣΗ ΕΦΑΡΜΟΓΗΣ ΕΜΜΕΣΗΣ ΦΟΡΟΛΟΓΙΑΣ (Δ.Ε.Ε.Φ.)</w:t>
      </w:r>
    </w:p>
    <w:p>
      <w:pPr>
        <w:pStyle w:val="PreambelText"/>
        <w:spacing w:before="240" w:after="240"/>
        <w:rPr>
          <w:lang w:val="el" w:eastAsia="el"/>
        </w:rPr>
      </w:pPr>
      <w:r>
        <w:rPr>
          <w:lang w:val="el" w:eastAsia="el"/>
        </w:rPr>
        <w:t xml:space="preserve">II. </w:t>
      </w:r>
      <w:r>
        <w:rPr>
          <w:b/>
          <w:bCs/>
          <w:lang w:val="el" w:eastAsia="el"/>
        </w:rPr>
        <w:t>ΔΙΕΥΘΥΝΣΗ ΔΙΑΔΙΚΑΣΙΩΝ ΕΙΣΠΡΑΞΕΩΝ</w:t>
      </w:r>
    </w:p>
    <w:p>
      <w:pPr>
        <w:pStyle w:val="PreambelText"/>
        <w:spacing w:before="240" w:after="240"/>
        <w:rPr>
          <w:lang w:val="el" w:eastAsia="el"/>
        </w:rPr>
      </w:pPr>
      <w:r>
        <w:rPr>
          <w:b/>
          <w:bCs/>
          <w:lang w:val="el" w:eastAsia="el"/>
        </w:rPr>
        <w:t>ΚΑΙ ΕΠΙΣΤΡΟΦΩΝ (ΔΙ.Δ.ΕΙΣ.ΕΠ.)</w:t>
      </w:r>
    </w:p>
    <w:p>
      <w:pPr>
        <w:pStyle w:val="PreambelText"/>
        <w:spacing w:before="240" w:after="240"/>
        <w:rPr>
          <w:lang w:val="el" w:eastAsia="el"/>
        </w:rPr>
      </w:pPr>
      <w:r>
        <w:rPr>
          <w:lang w:val="el" w:eastAsia="el"/>
        </w:rPr>
        <w:t xml:space="preserve">III. </w:t>
      </w:r>
      <w:r>
        <w:rPr>
          <w:b/>
          <w:bCs/>
          <w:lang w:val="el" w:eastAsia="el"/>
        </w:rPr>
        <w:t>ΔΙΕΥΘΥΝΣΗ ΕΦΑΡΜΟΓΗΣ ΑΜΕΣΗΣ ΦΟΡΟΛΟΓΙΑΣ (Δ.Ε.Α.Φ.)</w:t>
      </w:r>
    </w:p>
    <w:p>
      <w:pPr>
        <w:pStyle w:val="PreambelText"/>
        <w:spacing w:before="240" w:after="240"/>
        <w:rPr>
          <w:lang w:val="el" w:eastAsia="el"/>
        </w:rPr>
      </w:pPr>
      <w:r>
        <w:rPr>
          <w:lang w:val="el" w:eastAsia="el"/>
        </w:rPr>
        <w:t xml:space="preserve">IV. </w:t>
      </w:r>
      <w:r>
        <w:rPr>
          <w:b/>
          <w:bCs/>
          <w:lang w:val="el" w:eastAsia="el"/>
        </w:rPr>
        <w:t>ΔΙΕΥΘΥΝΣΗ ΕΦΑΡΜΟΓΗΣ ΦΟΡΟΛΟΓΙΑΣ ΚΕΦΑΛΑΙΟΥ ΚΑΙ ΠΕΡΙΟΥΣΙΟΛΟΓΙΟΥ (Δ.Ε.Φ.Κ.&amp;Π.)</w:t>
      </w:r>
    </w:p>
    <w:p>
      <w:pPr>
        <w:pStyle w:val="PreambelText"/>
        <w:spacing w:before="240" w:after="240"/>
        <w:rPr>
          <w:lang w:val="el" w:eastAsia="el"/>
        </w:rPr>
      </w:pPr>
      <w:r>
        <w:rPr>
          <w:lang w:val="el" w:eastAsia="el"/>
        </w:rPr>
        <w:t xml:space="preserve">V. </w:t>
      </w:r>
      <w:r>
        <w:rPr>
          <w:b/>
          <w:bCs/>
          <w:lang w:val="el" w:eastAsia="el"/>
        </w:rPr>
        <w:t>ΔΙΕΥΘΥΝΣΗ ΕΛΕΓΚΤΙΚΩΝ ΔΙΑΔΙΚΑΣΙΩΝ (ΔΙ.ΕΛ.ΔΙ.)</w:t>
      </w:r>
    </w:p>
    <w:p>
      <w:pPr>
        <w:pStyle w:val="PreambelText"/>
        <w:spacing w:before="240" w:after="240"/>
        <w:rPr>
          <w:lang w:val="el" w:eastAsia="el"/>
        </w:rPr>
      </w:pPr>
      <w:r>
        <w:rPr>
          <w:lang w:val="el" w:eastAsia="el"/>
        </w:rPr>
        <w:t xml:space="preserve">VI. </w:t>
      </w:r>
      <w:r>
        <w:rPr>
          <w:b/>
          <w:bCs/>
          <w:lang w:val="el" w:eastAsia="el"/>
        </w:rPr>
        <w:t>ΔΙΕΥΘΥΝΣΗ ΔΙΕΘΝΩΝ ΦΟΡΟΛΟΓΙΚΩΝ</w:t>
      </w:r>
    </w:p>
    <w:p>
      <w:pPr>
        <w:pStyle w:val="PreambelText"/>
        <w:spacing w:before="240" w:after="240"/>
        <w:rPr>
          <w:lang w:val="el" w:eastAsia="el"/>
        </w:rPr>
      </w:pPr>
      <w:r>
        <w:rPr>
          <w:b/>
          <w:bCs/>
          <w:lang w:val="el" w:eastAsia="el"/>
        </w:rPr>
        <w:t>ΣΧΕΣΕΩΝ (Δ.Δ.ΦΟ.Σ.)</w:t>
      </w:r>
    </w:p>
    <w:p>
      <w:pPr>
        <w:pStyle w:val="PreambelText"/>
        <w:spacing w:before="240" w:after="240"/>
        <w:rPr>
          <w:lang w:val="el" w:eastAsia="el"/>
        </w:rPr>
      </w:pPr>
      <w:r>
        <w:rPr>
          <w:lang w:val="el" w:eastAsia="el"/>
        </w:rPr>
        <w:t xml:space="preserve">2. </w:t>
      </w:r>
      <w:r>
        <w:rPr>
          <w:b/>
          <w:bCs/>
          <w:lang w:val="el" w:eastAsia="el"/>
        </w:rPr>
        <w:t>ΓΕΝΙΚΗ ΔΙΕΥΘΥΝΣΗ ΦΟΡΟΛΟΓΙΚΩΝ ΛΕΙΤΟΥΡΓΙΩΝ</w:t>
      </w:r>
    </w:p>
    <w:p>
      <w:pPr>
        <w:pStyle w:val="PreambelText"/>
        <w:spacing w:before="240" w:after="240"/>
        <w:rPr>
          <w:lang w:val="el" w:eastAsia="el"/>
        </w:rPr>
      </w:pPr>
      <w:r>
        <w:rPr>
          <w:b/>
          <w:bCs/>
          <w:lang w:val="el" w:eastAsia="el"/>
        </w:rPr>
        <w:t>Δ/NΣH ΕΠΙΧΕΙΡΗΣΙΑΚΟΥ ΣΧΕΔΙΑΣΜΟΥ ΕΙΣΠΡΑΞΕΩΝ ΚΑΙ ΕΠΙΣΤΡΟΦΩΝ (ΔΙ.Ε.Σ.Ε.Ε.)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0"/>
        <w:gridCol w:w="33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sz w:val="30"/>
                <w:szCs w:val="30"/>
                <w:vertAlign w:val="subscript"/>
                <w:lang w:val="el" w:eastAsia="el"/>
              </w:rPr>
              <w:t>:</w:t>
            </w:r>
            <w:r>
              <w:rPr>
                <w:b/>
                <w:bCs/>
                <w:i w:val="0"/>
                <w:iCs w:val="0"/>
                <w:smallCaps w:val="0"/>
                <w:color w:val="000000"/>
                <w:lang w:val="el" w:eastAsia="el"/>
              </w:rPr>
              <w:t xml:space="preserve"> Πειραιώς 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17778 Ταύρος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2131410131,133,142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4" w:history="1">
              <w:r>
                <w:rPr>
                  <w:rStyle w:val="Hyperlink"/>
                  <w:b/>
                  <w:bCs/>
                  <w:i w:val="0"/>
                  <w:iCs w:val="0"/>
                  <w:smallCaps w:val="0"/>
                  <w:color w:val="0000EE"/>
                  <w:u w:color="0000EE"/>
                  <w:lang w:val="el" w:eastAsia="el"/>
                </w:rPr>
                <w:t>www.aade.gr</w:t>
              </w:r>
            </w:hyperlink>
          </w:p>
        </w:tc>
      </w:tr>
    </w:tbl>
    <w:p>
      <w:pPr>
        <w:pStyle w:val="PreambelText"/>
        <w:spacing w:before="240" w:after="240"/>
        <w:rPr>
          <w:lang w:val="el" w:eastAsia="el"/>
        </w:rPr>
      </w:pPr>
      <w:r>
        <w:rPr>
          <w:b/>
          <w:bCs/>
          <w:lang w:val="el" w:eastAsia="el"/>
        </w:rPr>
        <w:t>ΠΡΟΣ : Πίνακα Διανομής</w:t>
      </w:r>
    </w:p>
    <w:p>
      <w:pPr>
        <w:pStyle w:val="PreambelText"/>
        <w:spacing w:before="240" w:after="240"/>
        <w:rPr>
          <w:lang w:val="el" w:eastAsia="el"/>
        </w:rPr>
      </w:pPr>
      <w:r>
        <w:rPr>
          <w:b/>
          <w:bCs/>
          <w:lang w:val="el" w:eastAsia="el"/>
        </w:rPr>
        <w:t>Θέμα: «Κοινοποίηση των διατάξεων των άρθρων 1-38, 40-44, 46, 49, 50 και 5356 του ν. 5135/2024 (Α΄147/16-9-2024) «Ψηφιακό τέλος συναλλαγής και άλλες διατάξεις.»»</w:t>
      </w:r>
    </w:p>
    <w:p>
      <w:pPr>
        <w:pStyle w:val="enacting"/>
        <w:spacing w:before="120" w:after="0"/>
        <w:rPr>
          <w:lang w:val="el" w:eastAsia="el"/>
        </w:rPr>
      </w:pPr>
      <w:r>
        <w:rPr>
          <w:b/>
          <w:bCs/>
          <w:lang w:val="el" w:eastAsia="el"/>
        </w:rPr>
        <w:t>ΠΕΡΙΛΗΨΗ</w:t>
      </w:r>
    </w:p>
    <w:p>
      <w:pPr>
        <w:pStyle w:val="PreambelText"/>
        <w:spacing w:before="240" w:after="240"/>
        <w:rPr>
          <w:lang w:val="el" w:eastAsia="el"/>
        </w:rPr>
      </w:pPr>
      <w:r>
        <w:rPr>
          <w:b/>
          <w:bCs/>
          <w:lang w:val="el" w:eastAsia="el"/>
        </w:rPr>
        <w:t>Α) ΑΝΤΙΚΕΙΜΕΝΟ</w:t>
      </w:r>
    </w:p>
    <w:p>
      <w:pPr>
        <w:pStyle w:val="PreambelText"/>
        <w:spacing w:before="240" w:after="240"/>
        <w:rPr>
          <w:lang w:val="el" w:eastAsia="el"/>
        </w:rPr>
      </w:pPr>
      <w:r>
        <w:rPr>
          <w:b/>
          <w:bCs/>
          <w:lang w:val="el" w:eastAsia="el"/>
        </w:rPr>
        <w:t>Κοινοποίηση των διατάξεων των άρθρων 1-38, 40-44, 46, 49, 50 και 53-56 του ν. 5135/2024 (Α΄147).</w:t>
      </w:r>
    </w:p>
    <w:p>
      <w:pPr>
        <w:pStyle w:val="PreambelText"/>
        <w:spacing w:before="240" w:after="24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των κάτωθι άρθρων του ν. 5135/2024: α) των άρθρων 1, 2 του μέρους Α΄ «Σκοπός και αντικείμενο», β) των άρθρων 3-33 του μέρους Β΄ «Ψηφιακό τέλος συναλλαγής», γ) των άρθρων 34-38, 40-44, 46, 49, 50 και 53-55 του μέρους Γ΄ «Άλλες ρυθμίσεις θεμάτων Υπουργείου Εθνικής Οικονομίας και Οικονομικών» και δ) του άρθρου 56 του μέρους Δ΄ «Έναρξη ισχύος».</w:t>
      </w:r>
    </w:p>
    <w:p>
      <w:pPr>
        <w:pStyle w:val="PreambelText"/>
        <w:spacing w:before="240" w:after="240"/>
        <w:rPr>
          <w:lang w:val="el" w:eastAsia="el"/>
        </w:rPr>
      </w:pPr>
      <w:r>
        <w:rPr>
          <w:b/>
          <w:bCs/>
          <w:lang w:val="el" w:eastAsia="el"/>
        </w:rPr>
        <w:t>Γ) ΠΕΔΙΟ ΕΦΑΡΜΟΓΗΣ</w:t>
      </w:r>
    </w:p>
    <w:p>
      <w:pPr>
        <w:pStyle w:val="PreambelText"/>
        <w:spacing w:before="240" w:after="240"/>
        <w:rPr>
          <w:lang w:val="el" w:eastAsia="el"/>
        </w:rPr>
      </w:pPr>
      <w:r>
        <w:rPr>
          <w:b/>
          <w:bCs/>
          <w:lang w:val="el" w:eastAsia="el"/>
        </w:rPr>
        <w:t>Τα άρθρα 3-33 αφορούν στα φυσικά και νομικά πρόσωπα/οντότητες, συμβολαιογράφους, υποθηκοφύλακες και λοιπούς λειτουργούς που εμπλέκονται στην κατάρτιση πράξεων και στην είσπραξη του ψηφιακού τέλους συναλλαγής καθώς και στις υπηρεσίες της φορολογικής διοίκησης.</w:t>
      </w:r>
    </w:p>
    <w:p>
      <w:pPr>
        <w:pStyle w:val="PreambelText"/>
        <w:spacing w:before="240" w:after="240"/>
        <w:rPr>
          <w:lang w:val="el" w:eastAsia="el"/>
        </w:rPr>
      </w:pPr>
      <w:r>
        <w:rPr>
          <w:b/>
          <w:bCs/>
          <w:lang w:val="el" w:eastAsia="el"/>
        </w:rPr>
        <w:t>Το άρθρο 34 αφορά στους υποκείμενους στο Φ.Π.Α.</w:t>
      </w:r>
    </w:p>
    <w:p>
      <w:pPr>
        <w:pStyle w:val="PreambelText"/>
        <w:spacing w:before="240" w:after="240"/>
        <w:rPr>
          <w:lang w:val="el" w:eastAsia="el"/>
        </w:rPr>
      </w:pPr>
      <w:r>
        <w:rPr>
          <w:b/>
          <w:bCs/>
          <w:lang w:val="el" w:eastAsia="el"/>
        </w:rPr>
        <w:t>Το άρθρο 35 αφορά σε απαλλαγές από τον Ενιαίο Φόρο Ιδιοκτησίας Ακινήτων των περιοχών που έχουν πληγεί από σεισμούς ή πλημμύρες και σε περίπτωση παράτασης της κήρυξης σε κατάσταση έκτακτης ανάγκης.</w:t>
      </w:r>
    </w:p>
    <w:p>
      <w:pPr>
        <w:pStyle w:val="PreambelText"/>
        <w:spacing w:before="240" w:after="240"/>
        <w:rPr>
          <w:lang w:val="el" w:eastAsia="el"/>
        </w:rPr>
      </w:pPr>
      <w:r>
        <w:rPr>
          <w:b/>
          <w:bCs/>
          <w:lang w:val="el" w:eastAsia="el"/>
        </w:rPr>
        <w:t>Το άρθρο 36 αφορά στην απαλλαγή από το τεκμαρτό εισόδημα και τον Ενιαίο Φόρο Ιδιοκτησίας Ακινήτων της δωρεάν παραχώρησης ακινήτων ξένων κρατών σε μη κερδοσκοπικά νομικά πρόσωπα για την εκπλήρωση του μορφωτικού και πολιτιστικού τους σκοπού.</w:t>
      </w:r>
    </w:p>
    <w:p>
      <w:pPr>
        <w:pStyle w:val="PreambelText"/>
        <w:spacing w:before="240" w:after="240"/>
        <w:rPr>
          <w:lang w:val="el" w:eastAsia="el"/>
        </w:rPr>
      </w:pPr>
      <w:r>
        <w:rPr>
          <w:b/>
          <w:bCs/>
          <w:lang w:val="el" w:eastAsia="el"/>
        </w:rPr>
        <w:t>Το άρθρο 37 αφορά σε φυσικά πρόσωπα εργαζόμενους, εταίρους και μετόχους προς τους οποίους παραχωρείται, από την επιχείρηση, όχημα προς χρήση.</w:t>
      </w:r>
    </w:p>
    <w:p>
      <w:pPr>
        <w:pStyle w:val="PreambelText"/>
        <w:spacing w:before="240" w:after="240"/>
        <w:rPr>
          <w:lang w:val="el" w:eastAsia="el"/>
        </w:rPr>
      </w:pPr>
      <w:r>
        <w:rPr>
          <w:b/>
          <w:bCs/>
          <w:lang w:val="el" w:eastAsia="el"/>
        </w:rPr>
        <w:t>Το άρθρο 38 αφορά σε νομικά πρόσωπα και νομικές οντότητες του άρθρου 45 του Κ.Φ.Ε.</w:t>
      </w:r>
    </w:p>
    <w:p>
      <w:pPr>
        <w:pStyle w:val="PreambelText"/>
        <w:spacing w:before="240" w:after="240"/>
        <w:rPr>
          <w:lang w:val="el" w:eastAsia="el"/>
        </w:rPr>
      </w:pPr>
      <w:r>
        <w:rPr>
          <w:b/>
          <w:bCs/>
          <w:lang w:val="el" w:eastAsia="el"/>
        </w:rPr>
        <w:t>Το άρθρο 40 αφορά στον ορισμό της Ανεξάρτητης Αρχής Δημοσίων Εσόδων ως αρμόδιας αρχής στην Ελλάδα για τους σκοπούς της Συμφωνίας μεταξύ της Ευρωπαϊκής Ένωσης και του Βασιλείου της Νορβηγίας σχετικά με τη διοικητική συνεργασία, την καταπολέμηση της απάτης και την είσπραξη απαιτήσεων στον τομέα του φόρου προστιθέμενης αξίας.</w:t>
      </w:r>
    </w:p>
    <w:p>
      <w:pPr>
        <w:pStyle w:val="PreambelText"/>
        <w:spacing w:before="240" w:after="240"/>
        <w:rPr>
          <w:lang w:val="el" w:eastAsia="el"/>
        </w:rPr>
      </w:pPr>
      <w:r>
        <w:rPr>
          <w:b/>
          <w:bCs/>
          <w:lang w:val="el" w:eastAsia="el"/>
        </w:rPr>
        <w:t>Το άρθρο 41 αφορά τον ορισμό της Ανεξάρτητης Αρχής Δημοσίων Εσόδων ως αρμόδιας αρχής στην Ελλάδα για τους σκοπούς του Πρωτοκόλλου για τη διοικητική συνεργασία και την καταπολέμηση της απάτης στον τομέα του φόρου προστιθέμενης αξίας και την αμοιβαία συνδρομή για την είσπραξη απαιτήσεων σχετικών με φόρους και δασμούς της Συμφωνίας Εμπορίου και Συνεργασίας μεταξύ της Ευρωπαϊκής Ένωσης και της Ευρωπαϊκής Κοινότητας Ατομικής Ενέργειας, αφενός, και του Ηνωμένου Βασιλείου της Μεγάλης Βρετανίας και της Βόρειας Ιρλανδίας, αφετέρου.</w:t>
      </w:r>
    </w:p>
    <w:p>
      <w:pPr>
        <w:pStyle w:val="PreambelText"/>
        <w:spacing w:before="240" w:after="240"/>
        <w:rPr>
          <w:lang w:val="el" w:eastAsia="el"/>
        </w:rPr>
      </w:pPr>
      <w:r>
        <w:rPr>
          <w:b/>
          <w:bCs/>
          <w:lang w:val="el" w:eastAsia="el"/>
        </w:rPr>
        <w:t>Το άρθρο 42 αφορά σε οφειλέτες με ρύθμιση της υποπαρ. Α.2 παρ. Α΄ άρθρου πρώτου ν. 4152/2013 καθώς και οφειλέτες που πρόκειται να υπαχθούν στην εν λόγω ρύθμιση.</w:t>
      </w:r>
    </w:p>
    <w:p>
      <w:pPr>
        <w:pStyle w:val="PreambelText"/>
        <w:spacing w:before="240" w:after="240"/>
        <w:rPr>
          <w:lang w:val="el" w:eastAsia="el"/>
        </w:rPr>
      </w:pPr>
      <w:r>
        <w:rPr>
          <w:b/>
          <w:bCs/>
          <w:lang w:val="el" w:eastAsia="el"/>
        </w:rPr>
        <w:t>Το άρθρο 43 αφορά στους Παρόχους Υπηρεσιών Ηλεκτρονικής Έκδοσης Στοιχείων.</w:t>
      </w:r>
    </w:p>
    <w:p>
      <w:pPr>
        <w:pStyle w:val="PreambelText"/>
        <w:spacing w:before="240" w:after="240"/>
        <w:rPr>
          <w:lang w:val="el" w:eastAsia="el"/>
        </w:rPr>
      </w:pPr>
      <w:r>
        <w:rPr>
          <w:b/>
          <w:bCs/>
          <w:lang w:val="el" w:eastAsia="el"/>
        </w:rPr>
        <w:t>Το άρθρο 44 αφορά στα στοιχεία λιανικής πώλησης.</w:t>
      </w:r>
    </w:p>
    <w:p>
      <w:pPr>
        <w:pStyle w:val="PreambelText"/>
        <w:spacing w:before="240" w:after="240"/>
        <w:rPr>
          <w:lang w:val="el" w:eastAsia="el"/>
        </w:rPr>
      </w:pPr>
      <w:r>
        <w:rPr>
          <w:b/>
          <w:bCs/>
          <w:u w:val="single"/>
          <w:lang w:val="el" w:eastAsia="el"/>
        </w:rPr>
        <w:t xml:space="preserve">Το άρθρο </w:t>
      </w:r>
      <w:r>
        <w:rPr>
          <w:b/>
          <w:bCs/>
          <w:u w:val="single"/>
          <w:lang w:val="el" w:eastAsia="el"/>
        </w:rPr>
        <w:t xml:space="preserve">46 </w:t>
      </w:r>
      <w:r>
        <w:rPr>
          <w:b/>
          <w:bCs/>
          <w:u w:val="single"/>
          <w:lang w:val="el" w:eastAsia="el"/>
        </w:rPr>
        <w:t>αφορά στους Δηλούντες Φορείς Εκμετάλλευσης Πλατφόρμας που εμπλέκονται</w:t>
      </w:r>
      <w:r>
        <w:rPr>
          <w:b/>
          <w:bCs/>
          <w:lang w:val="el" w:eastAsia="el"/>
        </w:rPr>
        <w:t xml:space="preserve"> στην εφαρμογή του άρθρου 9ΑΓ του ν. 4170/2013 και του Παραρτήματος V αυτού.</w:t>
      </w:r>
    </w:p>
    <w:p>
      <w:pPr>
        <w:pStyle w:val="PreambelText"/>
        <w:spacing w:before="240" w:after="240"/>
        <w:rPr>
          <w:lang w:val="el" w:eastAsia="el"/>
        </w:rPr>
      </w:pPr>
      <w:r>
        <w:rPr>
          <w:b/>
          <w:bCs/>
          <w:lang w:val="el" w:eastAsia="el"/>
        </w:rPr>
        <w:t>Το άρθρο 49 αφορά στην αναστολή είσπραξης χρεών και πράξεων αναγκαστικής εκτέλεσης πληγέντων από θεομηνίες.</w:t>
      </w:r>
    </w:p>
    <w:p>
      <w:pPr>
        <w:pStyle w:val="PreambelText"/>
        <w:spacing w:before="240" w:after="240"/>
        <w:rPr>
          <w:lang w:val="el" w:eastAsia="el"/>
        </w:rPr>
      </w:pPr>
      <w:r>
        <w:rPr>
          <w:b/>
          <w:bCs/>
          <w:lang w:val="el" w:eastAsia="el"/>
        </w:rPr>
        <w:t>Το άρθρο 50 αφορά στους πληγέντες των περιοχών που κηρύχθηκαν σε κατάσταση εκτάκτου ανάγκης με τις υπό στοιχεία Α4014/30.8.2024 (ΑΔΑ: ΨΚΖ946ΝΠΙΘ-0ΔΛ) και Α4016/ 30.8.2024 (ΑΔΑ: 9ΟΥΘ46ΝΠΙΘ-4ΝΡ) αποφάσεις του Γενικού Γραμματέα Πολιτικής Προστασίας, για τον Παγασητικό Κόλπο.</w:t>
      </w:r>
    </w:p>
    <w:p>
      <w:pPr>
        <w:pStyle w:val="PreambelText"/>
        <w:spacing w:before="240" w:after="240"/>
        <w:rPr>
          <w:lang w:val="el" w:eastAsia="el"/>
        </w:rPr>
      </w:pPr>
      <w:r>
        <w:rPr>
          <w:b/>
          <w:bCs/>
          <w:lang w:val="el" w:eastAsia="el"/>
        </w:rPr>
        <w:t>Το άρθρο 53 αφορά σε ρυθμίσεις για την ακύρωση ή τροποποίηση άμεσου προσδιορισμού φόρου, πράξης προσδιορισμού φόρου και πράξης επιβολής προστίμου με βάση τις διατάξεις του άρθρου 74 ΚΦΔ.</w:t>
      </w:r>
    </w:p>
    <w:p>
      <w:pPr>
        <w:pStyle w:val="PreambelText"/>
        <w:spacing w:before="240" w:after="240"/>
        <w:rPr>
          <w:lang w:val="el" w:eastAsia="el"/>
        </w:rPr>
      </w:pPr>
      <w:r>
        <w:rPr>
          <w:b/>
          <w:bCs/>
          <w:lang w:val="el" w:eastAsia="el"/>
        </w:rPr>
        <w:t>Το άρθρο 54 αφορά σε νομικά πρόσωπα και νομικές οντότητες καθώς και σε φυσικά πρόσωπα που αποκτούν κέρδη από επιχειρηματική δραστηριότητα</w:t>
      </w:r>
    </w:p>
    <w:p>
      <w:pPr>
        <w:pStyle w:val="PreambelText"/>
        <w:spacing w:before="240" w:after="240"/>
        <w:rPr>
          <w:lang w:val="el" w:eastAsia="el"/>
        </w:rPr>
      </w:pPr>
      <w:r>
        <w:rPr>
          <w:b/>
          <w:bCs/>
          <w:lang w:val="el" w:eastAsia="el"/>
        </w:rPr>
        <w:t>Το άρθρο 55 αφορά σε νομικά πρόσωπα του άρθρου 45 του ΚΦΕ</w:t>
      </w:r>
    </w:p>
    <w:p>
      <w:pPr>
        <w:pStyle w:val="PreambelText"/>
        <w:spacing w:before="240" w:after="240"/>
        <w:rPr>
          <w:lang w:val="el" w:eastAsia="el"/>
        </w:rPr>
      </w:pPr>
      <w:r>
        <w:rPr>
          <w:b/>
          <w:bCs/>
          <w:lang w:val="el" w:eastAsia="el"/>
        </w:rPr>
        <w:t>Το άρθρο 56 αφορά στην έναρξη ισχύος των διατάξεων του ν. 5135/2024</w:t>
      </w:r>
    </w:p>
    <w:p>
      <w:pPr>
        <w:pStyle w:val="PreambelText"/>
        <w:spacing w:before="240" w:after="240"/>
        <w:rPr>
          <w:lang w:val="el" w:eastAsia="el"/>
        </w:rPr>
      </w:pPr>
      <w:r>
        <w:rPr>
          <w:b/>
          <w:bCs/>
          <w:lang w:val="el" w:eastAsia="el"/>
        </w:rPr>
        <w:t>Σας κοινοποιούμε συνημμένα, για ενημέρωση και εφαρμογή, τις διατάξεις των άρθρων 1-38, 42-46, 49, 50, 53-56 του ν. 5135/2024 (Α΄147), ο οποίος διαρθρώνεται ως εξής:</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ΨΗΦΙΑΚΟ ΤΕΛΟΣ ΣΥΝΑΛΛΑΓΗΣ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 ΔΙΑΔΙΚΑΣΙΑ ΥΠΟΒΟΛΗΣ ΔΗΛΩΣΗΣ, ΑΠΟΔΟΣΗΣ ΚΑΙ ΕΠΙΣΤΡΟΦΗΣ ΤΟΥ ΨΗΦΙΑΚΟΥ ΤΕΛΟΥΣ ΣΥΝΑΛΛΑΓΗΣ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Αντικείμενο του Ψηφιακού Τέλους Συναλλαγής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Υποκείμενος και υπόχρεος δήλωσης και απόδοσης του Ψηφιακού Τέλους Συναλλαγής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Δήλωση, απόδοση και επιστροφή του Ψηφιακού Τέλους Συναλλαγής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ΣΥΝΑΛΛΑΓΕΣ ΜΕΤΑΞΥ ΙΔΙΩΤΩΝ, ΦΥΣΙΚΩΝ ΚΑΙ ΝΟΜΙΚΩΝ ΠΡΟΣΩΠΩΝ ΥΠΑΓΟΜΕΝΕΣ ΣΕ ΑΝΑΛΟΓΙΚΟ ΨΗΦΙΑΚΟ ΤΕΛΟΣ ΣΥΝΑΛΛΑΓΗΣ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Γενικές αρχές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Μίσθωση ακινήτων</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Δάνεια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Τρεχούμενος δοσοληπτικός λογαριασμός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Καταθέσεις και αναλήψεις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Πώληση κινητού πράγματος ή άυλου αγαθού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Μεταβίβαση επιχείρησης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Διανομή κληρονομίας, κληροδοτήματος και εν γένει κοινής περιουσίας</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Λοιπές συμβάσεις υπαγόμενες σε Ψηφιακό Τέλος Συναλλαγής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Συμβιβασμός</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Αποζημιώσεις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Αμοιβές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Τόκοι υπερημερίας και νόμιμοι τόκοι</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Τραπεζικές επιταγές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Συνδρομές καταβαλλόμενες σε επιμελητήρια, ενώσεις, συλλόγους και σωματεία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Έπαθλα και βραβεία</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ΣΥΝΑΛΛΑΓΕΣ ΜΕ ΤΟ ΔΗΜΟΣΙΟ Ή ΤΟΥΣ ΦΟΡΕΙΣ ΓΕΝΙΚΗΣ ΚΥΒΕΡΝΗΣΗΣ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Μισθώσεις ακινήτων με αντισυμβαλλόμενο το Δημόσιο ή φορέα γενικής κυβέρνησης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Αποζημιώσεις καταβαλλόμενες από ή προς το Δημόσιο ή φορείς γενικής κυβέρνησης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Επιδοτήσεις, οικονομικές ενισχύσεις, επιχορηγήσεις από το Δημόσιο ή φορείς γενικής κυβέρνησης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Αμοιβή Δημοσίου ή φορέων γενικής κυβέρνησης για παροχή υπηρεσίας</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Αμοιβές για συμμετοχή σε συμβούλια και επιτροπές</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Είσπραξη προστίμων και παρεμφερών εσόδων του Δημοσίου και των φορέων γενικής κυβέρνησης</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Συναλλαγές που διενεργούνται σε κτηματολογικά γραφεία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Έκδοση απογράφου και αποδεικτικά έγγραφα ενώπιον δικαστηρίων</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ΠΑΓΙΟ ΨΗΦΙΑΚΟ ΤΕΛΟΣ ΣΥΝΑΛΛΑΓΗΣ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Περιπτώσεις επιβολής πάγιου Ψηφιακού Τέλους Συναλλαγής</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ΕΞΟΥΣΙΟΔΟΤΙΚΕΣ, ΜΕΤΑΒΑΤΙΚΕΣ ΚΑΙ ΚΑΤΑΡΓΟΥΜΕΝΕΣ ΔΙΑΤΑΞΕΙΣ</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Εξουσιοδοτικές διατάξεις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Μεταβατικές διατάξεις – Προσθήκη περ. 54 στο Παράρτημα Α΄ του Κώδικα Φορολογικής Διαδικασίας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Καταργούμενες διατάξεις</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ΑΛΛΕΣ ΡΥΘΜΙΣΕΙΣ ΘΕΜΑΤΩΝ ΥΠΟΥΡΓΕΙΟΥ ΕΘΝΙΚΗΣ ΟΙΚΟΝΟΜΙΑΣ ΚΑΙ ΟΙΚΟΝΟΜΙΚΩΝ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ΦΟΡΟΛΟΓΙΚΕΣ ΡΥΘΜΙΣΕΙΣ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Εκσυγχρονισμός Κώδικα Φόρου Προστιθέμενης Αξίας - Τροποποίηση παρ. 1 άρθρου 27, άρθρου 28, παρ. 3 και 4 άρθρου 33, παρ. 9 άρθρου 39, παρ. 10 άρθρου 47γ και παρ. 1 άρθρου 63 Κώδικα Φόρου Προστιθέμενης Αξίας</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Απαλλαγή από τον Ενιαίο Φόρο Ιδιοκτησίας Ακινήτων σε περιοχές οι οποίες έχουν πληγεί ολικώς από πλημμύρες και σε περίπτωση παράτασης της κήρυξης σε κατάσταση έκτακτης ανάγκης - Τροποποίηση παρ. 6, 7Α, 7Γ, 7Δ άρθρου 3 ν. 4223/2013</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Απαλλαγή από τεκμαρτό εισόδημα και Ενιαίο Φόρο Ιδιοκτησίας Ακινήτων της δωρεάν παραχώρησης ακινήτων ξένων κρατών σε μη κερδοσκοπικά νομικά πρόσωπα για την εκπλήρωση του μορφωτικού και πολιτιστικού τους σκοπού - Τροποποίηση παρ. 2 άρθρου 39 Κώδικα Φορολογίας Εισοδήματος και περ. γ) παρ. 1 άρθρου 3 ν. 4223/2013</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Αύξηση του ορίου της Λιανικής Τιμής Προ Φόρων των αυτοκινήτων που παραχωρούνται αποκλειστικά για επαγγελματικούς σκοπούς - Τροποποίηση παρ. 2 άρθρου 13 Κώδικα Φορολογίας Εισοδήματος</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Έκπτωση δωρεών προς το Δημόσιο από τα ακαθάριστα έσοδα των νομικών προσώπων και νομικών οντοτήτων - Τροποποίηση παρ. 8 άρθρου 47 Κώδικα Φορολογίας Εισοδήματος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Αρμόδια αρχή στην Ελλάδα για τους σκοπούς της Συμφωνίας μεταξύ της Ευρωπαϊκής Ένωσης και του Βασιλείου της Νορβηγίας σχετικά με τη διοικητική συνεργασία, την καταπολέμηση της απάτης και την είσπραξη απαιτήσεων στον τομέα του φόρου προστιθέμενης αξίας.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Αρμόδια αρχή στην Ελλάδα για τους σκοπούς του Πρωτοκόλλου για τη διοικητική συνεργασία και την καταπολέμηση της απάτης στον τομέα του φόρου προστιθέμενης αξίας και την αμοιβαία συνδρομή για την είσπραξη απαιτήσεων σχετικών με φόρους και δασμούς της Συμφωνίας Εμπορίου και Συνεργασίας μεταξύ της Ευρωπαϊκής Ένωσης και της Ευρωπαϊκής Κοινότητας Ατομικής Ενέργειας, αφενός, και του Ηνωμένου Βασιλείου της Μεγάλης Βρετανίας και της Βόρειας Ιρλανδίας, αφετέρου.</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Προϋποθέσεις πιστοποίησης από ανεξάρτητο εκτιμητή και παροχής εγγύησης, διασφάλισης ή εμπράγματης ασφάλειας - Αναστολή εφαρμογής περ. γ΄ παρ. 6 υποπαρ. Α.2 παρ. Α΄ άρθρου πρώτου ν. 4152/2013</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Διατάξεις για τους Παρόχους Υπηρεσιών Ηλεκτρονικής Έκδοσης Στοιχείων – Τροποποίηση υποπερ. βγ) περ. β) παρ. 6 άρθρου 10, παρ. 5 άρθρου 53, παρ. 1 άρθρου 62, αντικατάσταση παρ. 9 και 11 άρθρου 57, προσθήκη παρ. 7 στο άρθρο 58 Κώδικα Φορολογικής Διαδικασίας, τροποποίηση περ. γ) παρ. 3 άρθρου 13Α ν. 2523/1997</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Στοιχεία λιανικής πώλησης - Τροποποίηση άρθρου 12 ν. 4308/2014</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ΛΟΙΠΕΣ ΡΥΘΜΙΣΕΙΣ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Διαδικασίες Δέουσας Επιμέλειας Δηλούντων Φορέων Εκμετάλλευσης Πλατφόρμας – Τροποποίηση παρ. 3 Ενότητας Β’ Τμήματος ΙΙ Παραρτήματος V ν. 4170/2013</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Αναστολή είσπραξης χρεών και πράξεων αναγκαστικής εκτέλεσης πληγέντων από θεομηνίες – Τροποποίηση παρ. 5 άρθρου πέμπτου ν. 2275/1994 και παρ.1 άρθρου 53 ν.4797/2021</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Μέτρα ενίσχυσης επιχειρήσεων λόγω του ακραίου φαινομένου της 28ης Αυγούστου 2024 στον Παγασητικό Κόλπο</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Ρυθμίσεις για την ακύρωση ή τροποποίηση άμεσου προσδιορισμού φόρου, πράξης προσδιορισμού φόρου και πράξης επιβολής προστίμου στον Κώδικα Φορολογικής Διαδικασίας - Τροποποίηση παρ. 5 άρθρου 74, προσθήκη παρ. 6 στο άρθρο 74 και προσθήκη παρ. 5 στο άρθρο 84 του Κώδικα Φορολογικής Διαδικασίας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Απόσβεση δικαιωμάτων επί εκπομπών οπτικοακουστικού περιεχομένου - Τροποποίηση παρ. 4 άρθρου 24 Κώδικα Φορολογίας Εισοδήματος</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Παράταση χρόνου αναγνώρισης προς έκπτωση των οριστικών ζημιών νομικών προσώπων - Τροποποίηση περ. (β) παρ. 18 άρθρου 66 του ν. 4646/2019</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Σύμφωνα με την παρ. 1 του άρθρου 56 του κοινοποιούμενου νόμου, η ισχύς του αρχίζει από τη δημοσίευσή του στην Εφημερίδα της Κυβερνήσεως, με την επιφύλαξη ειδικότερων διατάξεων.</w:t>
      </w:r>
    </w:p>
    <w:p>
      <w:pPr>
        <w:spacing w:before="240" w:after="240"/>
        <w:rPr>
          <w:lang w:val="el" w:eastAsia="el"/>
        </w:rPr>
      </w:pPr>
      <w:r>
        <w:rPr>
          <w:b/>
          <w:bCs/>
          <w:lang w:val="el" w:eastAsia="el"/>
        </w:rPr>
        <w:t>Ειδικότερα, σύμφωνα με την παρ. 3 του άρθρου 49 του κοινοποιούμενου νόμου, η παρ. 1 του ιδίου άρθρου ισχύει από την 4η Σεπτεμβρίου 2024. Περαιτέρω, σύμφωνα με την παρ. 3 του άρθρου 50 του κοινοποιούμενου νόμου, οι παρ. 1 και 2 του ιδίου άρθρου τίθενται σε ισχύ από την 28</w:t>
      </w:r>
      <w:r>
        <w:rPr>
          <w:b/>
          <w:bCs/>
          <w:sz w:val="30"/>
          <w:szCs w:val="30"/>
          <w:vertAlign w:val="superscript"/>
          <w:lang w:val="el" w:eastAsia="el"/>
        </w:rPr>
        <w:t>η</w:t>
      </w:r>
      <w:r>
        <w:rPr>
          <w:b/>
          <w:bCs/>
          <w:lang w:val="el" w:eastAsia="el"/>
        </w:rPr>
        <w:t xml:space="preserve"> Αυγούστου 2024.</w:t>
      </w:r>
    </w:p>
    <w:p>
      <w:pPr>
        <w:spacing w:before="240" w:after="240"/>
        <w:rPr>
          <w:lang w:val="el" w:eastAsia="el"/>
        </w:rPr>
      </w:pPr>
      <w:r>
        <w:rPr>
          <w:b/>
          <w:bCs/>
          <w:lang w:val="el" w:eastAsia="el"/>
        </w:rPr>
        <w:t>Σύμφωνα με την παρ. 2 του άρθρου 56 του κοινοποιούμενου νόμου, η παρ. 7 του άρθρου 34 ισχύει από την ημερομηνία έναρξης επιβολής του Ψηφιακού Τέλους Συναλλαγής σύμφωνα με την παρ. 2 του άρθρου 32 του παρόντος, ήτοι από την 1η Δεκεμβρίου 2024.</w:t>
      </w:r>
    </w:p>
    <w:p>
      <w:pPr>
        <w:spacing w:before="240" w:after="240"/>
        <w:rPr>
          <w:lang w:val="el" w:eastAsia="el"/>
        </w:rPr>
      </w:pPr>
      <w:r>
        <w:rPr>
          <w:b/>
          <w:bCs/>
          <w:lang w:val="el" w:eastAsia="el"/>
        </w:rPr>
        <w:t>Σύμφωνα με την παρ. 3 του άρθρου 56 του κοινοποιούμενου νόμου το άρθρο 46 ισχύει από την 7η Σεπτεμβρίου 2023.</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w:t>
      </w:r>
      <w:r>
        <w:rPr>
          <w:b/>
          <w:bCs/>
          <w:lang w:val="el" w:eastAsia="el"/>
        </w:rPr>
        <w:t xml:space="preserve"> ΑΠΟΔΕΚΤΕΣ ΠΡΟΣ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Πίνακα Θ΄</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5.</w:t>
      </w:r>
      <w:r>
        <w:rPr>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Υπουργού Εθνικής Οικονομίας &amp;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Υφυπουργού Εθνικής Οικονομίας &amp;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Γενικού Γραμματέα Φορολογικής Πολιτικής</w:t>
      </w:r>
    </w:p>
    <w:p>
      <w:pPr>
        <w:pStyle w:val="MainText"/>
        <w:spacing w:before="120" w:after="0"/>
        <w:rPr>
          <w:lang w:val="el" w:eastAsia="el"/>
        </w:rPr>
      </w:pPr>
      <w:r>
        <w:rPr>
          <w:b/>
          <w:bCs/>
          <w:lang w:val="el" w:eastAsia="el"/>
        </w:rPr>
        <w:t>4.</w:t>
      </w:r>
      <w:r>
        <w:rPr>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5.</w:t>
      </w:r>
      <w:r>
        <w:rPr>
          <w:lang w:val="el" w:eastAsia="el"/>
        </w:rPr>
        <w:t xml:space="preserve"> </w:t>
      </w:r>
      <w:r>
        <w:rPr>
          <w:b/>
          <w:bCs/>
          <w:lang w:val="el" w:eastAsia="el"/>
        </w:rPr>
        <w:t>Αποδέκτες Πίνακα Α΄(πλην των αποδεκτών προς ενέργεια)</w:t>
      </w:r>
    </w:p>
    <w:p>
      <w:pPr>
        <w:pStyle w:val="MainText"/>
        <w:spacing w:before="120" w:after="0"/>
        <w:rPr>
          <w:lang w:val="el" w:eastAsia="el"/>
        </w:rPr>
      </w:pPr>
      <w:r>
        <w:rPr>
          <w:b/>
          <w:bCs/>
          <w:lang w:val="el" w:eastAsia="el"/>
        </w:rPr>
        <w:t>6.</w:t>
      </w:r>
      <w:r>
        <w:rPr>
          <w:lang w:val="el" w:eastAsia="el"/>
        </w:rPr>
        <w:t xml:space="preserve"> </w:t>
      </w:r>
      <w:r>
        <w:rPr>
          <w:b/>
          <w:bCs/>
          <w:lang w:val="el" w:eastAsia="el"/>
        </w:rPr>
        <w:t>Αποδέκτες Πίνακα Β΄</w:t>
      </w:r>
    </w:p>
    <w:p>
      <w:pPr>
        <w:pStyle w:val="MainText"/>
        <w:spacing w:before="120" w:after="0"/>
        <w:rPr>
          <w:lang w:val="el" w:eastAsia="el"/>
        </w:rPr>
      </w:pPr>
      <w:r>
        <w:rPr>
          <w:b/>
          <w:bCs/>
          <w:lang w:val="el" w:eastAsia="el"/>
        </w:rPr>
        <w:t>7.</w:t>
      </w:r>
      <w:r>
        <w:rPr>
          <w:lang w:val="el" w:eastAsia="el"/>
        </w:rPr>
        <w:t xml:space="preserve"> </w:t>
      </w:r>
      <w:r>
        <w:rPr>
          <w:b/>
          <w:bCs/>
          <w:lang w:val="el" w:eastAsia="el"/>
        </w:rPr>
        <w:t>Αποδέκτες Πίνακα Δ΄</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Γραφεία κ.κ. Προϊσταμένων Γενικών Διευθύνσεων ΑΑΔΕ</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Ελεγκτικών Διαδικασιών (Όλα τα Τμήματα)</w:t>
      </w:r>
    </w:p>
    <w:p>
      <w:pPr>
        <w:pStyle w:val="MainText"/>
        <w:spacing w:before="120" w:after="0"/>
        <w:rPr>
          <w:lang w:val="el" w:eastAsia="el"/>
        </w:rPr>
      </w:pPr>
      <w:r>
        <w:rPr>
          <w:b/>
          <w:bCs/>
          <w:lang w:val="el" w:eastAsia="el"/>
        </w:rPr>
        <w:t>6.</w:t>
      </w:r>
      <w:r>
        <w:rPr>
          <w:lang w:val="el" w:eastAsia="el"/>
        </w:rPr>
        <w:t xml:space="preserve"> </w:t>
      </w:r>
      <w:r>
        <w:rPr>
          <w:b/>
          <w:bCs/>
          <w:lang w:val="el" w:eastAsia="el"/>
        </w:rPr>
        <w:t>Διεύθυνση Διαδικασιών Εισπράξεων και Επιστροφών</w:t>
      </w:r>
    </w:p>
    <w:p>
      <w:pPr>
        <w:pStyle w:val="MainText"/>
        <w:spacing w:before="120" w:after="0"/>
        <w:rPr>
          <w:lang w:val="el" w:eastAsia="el"/>
        </w:rPr>
      </w:pPr>
      <w:r>
        <w:rPr>
          <w:b/>
          <w:bCs/>
          <w:lang w:val="el" w:eastAsia="el"/>
        </w:rPr>
        <w:t>7.</w:t>
      </w:r>
      <w:r>
        <w:rPr>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8.</w:t>
      </w:r>
      <w:r>
        <w:rPr>
          <w:lang w:val="el" w:eastAsia="el"/>
        </w:rPr>
        <w:t xml:space="preserve"> </w:t>
      </w:r>
      <w:r>
        <w:rPr>
          <w:b/>
          <w:bCs/>
          <w:lang w:val="el" w:eastAsia="el"/>
        </w:rPr>
        <w:t>Διεύθυνση Εφαρμογής Έμμεσης Φορολογίας</w:t>
      </w:r>
    </w:p>
    <w:p>
      <w:pPr>
        <w:pStyle w:val="MainText"/>
        <w:spacing w:before="120" w:after="0"/>
        <w:rPr>
          <w:lang w:val="el" w:eastAsia="el"/>
        </w:rPr>
      </w:pPr>
      <w:r>
        <w:rPr>
          <w:b/>
          <w:bCs/>
          <w:lang w:val="el" w:eastAsia="el"/>
        </w:rPr>
        <w:t>9.</w:t>
      </w:r>
      <w:r>
        <w:rPr>
          <w:lang w:val="el" w:eastAsia="el"/>
        </w:rPr>
        <w:t xml:space="preserve"> </w:t>
      </w:r>
      <w:r>
        <w:rPr>
          <w:b/>
          <w:bCs/>
          <w:lang w:val="el" w:eastAsia="el"/>
        </w:rPr>
        <w:t>Διεύθυνση Εφαρμογής Φορολογίας Κεφαλαίου και Περιουσιολογίου</w:t>
      </w:r>
    </w:p>
    <w:p>
      <w:pPr>
        <w:pStyle w:val="MainText"/>
        <w:spacing w:before="120" w:after="0"/>
        <w:rPr>
          <w:lang w:val="el" w:eastAsia="el"/>
        </w:rPr>
      </w:pPr>
      <w:r>
        <w:rPr>
          <w:b/>
          <w:bCs/>
          <w:lang w:val="el" w:eastAsia="el"/>
        </w:rPr>
        <w:t>10.</w:t>
      </w:r>
      <w:r>
        <w:rPr>
          <w:lang w:val="el" w:eastAsia="el"/>
        </w:rPr>
        <w:t xml:space="preserve"> </w:t>
      </w:r>
      <w:r>
        <w:rPr>
          <w:b/>
          <w:bCs/>
          <w:lang w:val="el" w:eastAsia="el"/>
        </w:rPr>
        <w:t>Διεύθυνση Διεθνών Φορολογικών Σχέσεων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